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sz w:val="21"/>
          <w:szCs w:val="21"/>
        </w:rPr>
      </w:pPr>
    </w:p>
    <w:p>
      <w:pPr>
        <w:pStyle w:val="111"/>
        <w:shd w:val="clear" w:color="auto" w:fill="E6E6E6"/>
        <w:overflowPunct w:val="0"/>
        <w:jc w:val="center"/>
        <w:rPr>
          <w:rFonts w:ascii="Arial" w:hAnsi="Arial" w:cs="Arial"/>
          <w:b/>
          <w:bCs/>
          <w:color w:val="000000"/>
          <w:sz w:val="21"/>
          <w:szCs w:val="21"/>
        </w:rPr>
      </w:pPr>
      <w:r>
        <w:rPr>
          <w:rFonts w:ascii="Arial" w:hAnsi="Arial" w:cs="Arial"/>
          <w:b/>
          <w:bCs/>
          <w:color w:val="000000" w:themeColor="text1"/>
          <w:sz w:val="21"/>
          <w:szCs w:val="21"/>
          <w14:textFill>
            <w14:solidFill>
              <w14:schemeClr w14:val="tx1"/>
            </w14:solidFill>
          </w14:textFill>
        </w:rPr>
        <w:t>EDITAL</w:t>
      </w:r>
    </w:p>
    <w:p>
      <w:pPr>
        <w:rPr>
          <w:rFonts w:cs="Arial"/>
          <w:sz w:val="21"/>
          <w:szCs w:val="21"/>
        </w:rPr>
      </w:pPr>
    </w:p>
    <w:p>
      <w:pPr>
        <w:spacing w:after="0"/>
        <w:jc w:val="center"/>
        <w:rPr>
          <w:rFonts w:cs="Arial"/>
          <w:b/>
          <w:bCs/>
          <w:color w:val="000000" w:themeColor="text1"/>
          <w:sz w:val="21"/>
          <w:szCs w:val="21"/>
          <w14:textFill>
            <w14:solidFill>
              <w14:schemeClr w14:val="tx1"/>
            </w14:solidFill>
          </w14:textFill>
        </w:rPr>
      </w:pPr>
      <w:r>
        <w:rPr>
          <w:rFonts w:cs="Arial"/>
          <w:b/>
          <w:bCs/>
          <w:color w:val="000000" w:themeColor="text1"/>
          <w:sz w:val="21"/>
          <w:szCs w:val="21"/>
          <w14:textFill>
            <w14:solidFill>
              <w14:schemeClr w14:val="tx1"/>
            </w14:solidFill>
          </w14:textFill>
        </w:rPr>
        <w:t xml:space="preserve">PREGÃO ELETRÔNICO (SRP) n.° </w:t>
      </w:r>
      <w:r>
        <w:rPr>
          <w:rFonts w:cs="Arial"/>
          <w:b/>
          <w:bCs/>
          <w:color w:val="FF0000"/>
          <w:sz w:val="21"/>
          <w:szCs w:val="21"/>
        </w:rPr>
        <w:t>04/2020</w:t>
      </w:r>
    </w:p>
    <w:p>
      <w:pPr>
        <w:spacing w:after="0"/>
        <w:jc w:val="center"/>
        <w:rPr>
          <w:rFonts w:cs="Arial"/>
          <w:color w:val="000000" w:themeColor="text1"/>
          <w:sz w:val="21"/>
          <w:szCs w:val="21"/>
          <w14:textFill>
            <w14:solidFill>
              <w14:schemeClr w14:val="tx1"/>
            </w14:solidFill>
          </w14:textFill>
        </w:rPr>
      </w:pPr>
      <w:r>
        <w:rPr>
          <w:rFonts w:cs="Arial"/>
          <w:color w:val="000000" w:themeColor="text1"/>
          <w:sz w:val="21"/>
          <w:szCs w:val="21"/>
          <w14:textFill>
            <w14:solidFill>
              <w14:schemeClr w14:val="tx1"/>
            </w14:solidFill>
          </w14:textFill>
        </w:rPr>
        <w:t>(Processo Administrativo n.° 23381.001667.2020-40)</w:t>
      </w:r>
    </w:p>
    <w:p>
      <w:pPr>
        <w:spacing w:after="120"/>
        <w:jc w:val="both"/>
        <w:rPr>
          <w:rFonts w:cs="Arial"/>
          <w:b/>
          <w:bCs/>
          <w:color w:val="000000"/>
          <w:sz w:val="21"/>
          <w:szCs w:val="21"/>
        </w:rPr>
      </w:pPr>
    </w:p>
    <w:p>
      <w:pPr>
        <w:spacing w:after="120"/>
        <w:ind w:firstLine="540"/>
        <w:jc w:val="both"/>
        <w:rPr>
          <w:rFonts w:cs="Arial"/>
          <w:b/>
          <w:bCs/>
          <w:sz w:val="21"/>
          <w:szCs w:val="21"/>
        </w:rPr>
      </w:pPr>
      <w:r>
        <w:rPr>
          <w:rFonts w:cs="Arial"/>
          <w:color w:val="000000"/>
          <w:sz w:val="21"/>
          <w:szCs w:val="21"/>
        </w:rPr>
        <w:t>Torna-se público que o(a) Instituto Federal de Educação, Ciência e Tecnologia da Paraíba – Reitoria, por meio da Diretoria de Compras, Contratos e Licitações, sediada à Avenida Almirante Barroso, n.° 1077, Centro, João Pessoa – Paraíba - CEP: 58.013-120, realizará licitação,</w:t>
      </w:r>
      <w:r>
        <w:rPr>
          <w:rFonts w:cs="Arial"/>
          <w:i/>
          <w:color w:val="FF0000"/>
          <w:sz w:val="21"/>
          <w:szCs w:val="21"/>
        </w:rPr>
        <w:t xml:space="preserve"> </w:t>
      </w:r>
      <w:r>
        <w:rPr>
          <w:rFonts w:cs="Arial"/>
          <w:b/>
          <w:bCs/>
          <w:i/>
          <w:color w:val="00000A"/>
          <w:sz w:val="21"/>
          <w:szCs w:val="21"/>
        </w:rPr>
        <w:t xml:space="preserve">para registro de preços, </w:t>
      </w:r>
      <w:r>
        <w:rPr>
          <w:rFonts w:cs="Arial"/>
          <w:color w:val="000000"/>
          <w:sz w:val="21"/>
          <w:szCs w:val="21"/>
        </w:rPr>
        <w:t xml:space="preserve">na modalidade PREGÃO, na forma ELETRÔNICA, </w:t>
      </w:r>
      <w:r>
        <w:rPr>
          <w:rFonts w:cs="Arial"/>
          <w:b/>
          <w:bCs/>
          <w:i/>
          <w:iCs/>
          <w:color w:val="000000"/>
          <w:sz w:val="21"/>
          <w:szCs w:val="21"/>
        </w:rPr>
        <w:t>com o critério de julgamento menor preço por grupo</w:t>
      </w:r>
      <w:r>
        <w:rPr>
          <w:rFonts w:cs="Arial"/>
          <w:bCs/>
          <w:color w:val="000000"/>
          <w:sz w:val="21"/>
          <w:szCs w:val="21"/>
        </w:rPr>
        <w:t>,</w:t>
      </w:r>
      <w:r>
        <w:rPr>
          <w:rFonts w:cs="Arial"/>
          <w:bCs/>
          <w:sz w:val="21"/>
          <w:szCs w:val="21"/>
        </w:rPr>
        <w:t xml:space="preserve"> sob a forma de execução indireta, no regime de empreitada por </w:t>
      </w:r>
      <w:r>
        <w:rPr>
          <w:rFonts w:cs="Arial"/>
          <w:bCs/>
          <w:color w:val="00000A"/>
          <w:sz w:val="21"/>
          <w:szCs w:val="21"/>
        </w:rPr>
        <w:t>preço unitário</w:t>
      </w:r>
      <w:r>
        <w:rPr>
          <w:rFonts w:cs="Arial"/>
          <w:bCs/>
          <w:sz w:val="21"/>
          <w:szCs w:val="21"/>
        </w:rPr>
        <w:t>,</w:t>
      </w:r>
      <w:r>
        <w:rPr>
          <w:rFonts w:cs="Arial"/>
          <w:color w:val="000000"/>
          <w:sz w:val="21"/>
          <w:szCs w:val="21"/>
        </w:rPr>
        <w:t xml:space="preserve"> nos termos da Lei n.° 10.520, de 17 de julho de 2002,</w:t>
      </w:r>
      <w:r>
        <w:rPr>
          <w:rFonts w:cs="Arial"/>
          <w:sz w:val="21"/>
          <w:szCs w:val="21"/>
        </w:rPr>
        <w:t xml:space="preserve">da Lei n.° 8.248, de 22 de outubro de 1991, </w:t>
      </w:r>
      <w:r>
        <w:rPr>
          <w:rFonts w:cs="Arial"/>
          <w:color w:val="000000"/>
          <w:sz w:val="21"/>
          <w:szCs w:val="21"/>
        </w:rPr>
        <w:t xml:space="preserve">do Decreto n.° 10.024, de 20 de setembro de 2019, do Decreto 9.507, de 21 de setembro de 2018, do Decreto n.° 7.746, de 05 de junho de 2012, do Decreto n.° 7.174, de 12 de maio de 2010, </w:t>
      </w:r>
      <w:r>
        <w:rPr>
          <w:rFonts w:cs="Arial"/>
          <w:iCs/>
          <w:color w:val="00000A"/>
          <w:sz w:val="21"/>
          <w:szCs w:val="21"/>
        </w:rPr>
        <w:t xml:space="preserve">do Decreto n.° 7.892, de 23 de janeiro de 2013, </w:t>
      </w:r>
      <w:r>
        <w:rPr>
          <w:rFonts w:cs="Arial"/>
          <w:sz w:val="21"/>
          <w:szCs w:val="21"/>
        </w:rPr>
        <w:t>da Instrução Normativa SGD/ME n.° 1, de 4 de abril de 2019</w:t>
      </w:r>
      <w:r>
        <w:rPr>
          <w:rFonts w:cs="Arial"/>
          <w:color w:val="000000"/>
          <w:sz w:val="21"/>
          <w:szCs w:val="21"/>
        </w:rPr>
        <w:t xml:space="preserve">, das Instruções Normativas SEGES/MP n.° 05, de 26 de maio de 2017 e n.° 03, de 26 de abril de 2018 e da Instrução Normativa SLTI/MPOG n.° 01, de 19 de janeiro de 2010, da Lei Complementar n° 123, de 14 de dezembro de 2006, da Lei n.° 11.488, de 15 de junho de 2007, do Decreto n° </w:t>
      </w:r>
      <w:r>
        <w:rPr>
          <w:rFonts w:cs="Arial"/>
          <w:sz w:val="21"/>
          <w:szCs w:val="21"/>
        </w:rPr>
        <w:t>8.538, de 06 de outubro de 2015</w:t>
      </w:r>
      <w:r>
        <w:rPr>
          <w:rFonts w:cs="Arial"/>
          <w:color w:val="000000"/>
          <w:sz w:val="21"/>
          <w:szCs w:val="21"/>
        </w:rPr>
        <w:t>, aplicando-se, subsidiariamente, a Lei n.° 8.666, de 21 de junho de 1993 e as exigências estabelecidas neste Edital.</w:t>
      </w:r>
    </w:p>
    <w:p>
      <w:pPr>
        <w:rPr>
          <w:rFonts w:cs="Arial"/>
          <w:sz w:val="21"/>
          <w:szCs w:val="21"/>
        </w:rPr>
      </w:pPr>
    </w:p>
    <w:p>
      <w:pPr>
        <w:spacing w:after="0"/>
        <w:jc w:val="both"/>
        <w:rPr>
          <w:rFonts w:cs="Arial"/>
          <w:sz w:val="21"/>
          <w:szCs w:val="21"/>
        </w:rPr>
      </w:pPr>
      <w:r>
        <w:rPr>
          <w:rFonts w:cs="Arial"/>
          <w:color w:val="000000" w:themeColor="text1"/>
          <w:sz w:val="21"/>
          <w:szCs w:val="21"/>
          <w14:textFill>
            <w14:solidFill>
              <w14:schemeClr w14:val="tx1"/>
            </w14:solidFill>
          </w14:textFill>
        </w:rPr>
        <w:t>Data da sessão:</w:t>
      </w:r>
      <w:r>
        <w:rPr>
          <w:rFonts w:hint="default" w:cs="Arial"/>
          <w:color w:val="000000" w:themeColor="text1"/>
          <w:sz w:val="21"/>
          <w:szCs w:val="21"/>
          <w:lang w:val="pt-BR"/>
          <w14:textFill>
            <w14:solidFill>
              <w14:schemeClr w14:val="tx1"/>
            </w14:solidFill>
          </w14:textFill>
        </w:rPr>
        <w:t xml:space="preserve"> </w:t>
      </w:r>
      <w:r>
        <w:rPr>
          <w:rFonts w:hint="default" w:cs="Arial"/>
          <w:b/>
          <w:bCs/>
          <w:color w:val="FF0000"/>
          <w:sz w:val="21"/>
          <w:szCs w:val="21"/>
          <w:lang w:val="pt-BR"/>
        </w:rPr>
        <w:t>27</w:t>
      </w:r>
      <w:r>
        <w:rPr>
          <w:rFonts w:cs="Arial"/>
          <w:b/>
          <w:bCs/>
          <w:color w:val="FF0000"/>
          <w:sz w:val="21"/>
          <w:szCs w:val="21"/>
        </w:rPr>
        <w:t>/</w:t>
      </w:r>
      <w:r>
        <w:rPr>
          <w:rFonts w:hint="default" w:cs="Arial"/>
          <w:b/>
          <w:bCs/>
          <w:color w:val="FF0000"/>
          <w:sz w:val="21"/>
          <w:szCs w:val="21"/>
          <w:lang w:val="pt-BR"/>
        </w:rPr>
        <w:t>07</w:t>
      </w:r>
      <w:r>
        <w:rPr>
          <w:rFonts w:cs="Arial"/>
          <w:b/>
          <w:bCs/>
          <w:color w:val="FF0000"/>
          <w:sz w:val="21"/>
          <w:szCs w:val="21"/>
        </w:rPr>
        <w:t>/2020</w:t>
      </w:r>
      <w:bookmarkStart w:id="7" w:name="_GoBack"/>
      <w:bookmarkEnd w:id="7"/>
    </w:p>
    <w:p>
      <w:pPr>
        <w:spacing w:after="0"/>
        <w:jc w:val="both"/>
        <w:rPr>
          <w:rFonts w:cs="Arial"/>
          <w:sz w:val="21"/>
          <w:szCs w:val="21"/>
        </w:rPr>
      </w:pPr>
      <w:r>
        <w:rPr>
          <w:rFonts w:cs="Arial"/>
          <w:color w:val="000000" w:themeColor="text1"/>
          <w:sz w:val="21"/>
          <w:szCs w:val="21"/>
          <w14:textFill>
            <w14:solidFill>
              <w14:schemeClr w14:val="tx1"/>
            </w14:solidFill>
          </w14:textFill>
        </w:rPr>
        <w:t xml:space="preserve">Horário: </w:t>
      </w:r>
      <w:r>
        <w:rPr>
          <w:rFonts w:cs="Arial"/>
          <w:b/>
          <w:bCs/>
          <w:color w:val="FF0000"/>
          <w:sz w:val="21"/>
          <w:szCs w:val="21"/>
        </w:rPr>
        <w:t>0</w:t>
      </w:r>
      <w:r>
        <w:rPr>
          <w:rFonts w:hint="default" w:cs="Arial"/>
          <w:b/>
          <w:bCs/>
          <w:color w:val="FF0000"/>
          <w:sz w:val="21"/>
          <w:szCs w:val="21"/>
          <w:lang w:val="pt-BR"/>
        </w:rPr>
        <w:t>9</w:t>
      </w:r>
      <w:r>
        <w:rPr>
          <w:rFonts w:cs="Arial"/>
          <w:b/>
          <w:bCs/>
          <w:color w:val="FF0000"/>
          <w:sz w:val="21"/>
          <w:szCs w:val="21"/>
        </w:rPr>
        <w:t>:00 (horário Oficial de Brasília - DF)</w:t>
      </w:r>
    </w:p>
    <w:p>
      <w:pPr>
        <w:spacing w:after="0"/>
        <w:jc w:val="both"/>
      </w:pPr>
      <w:r>
        <w:rPr>
          <w:rFonts w:cs="Arial"/>
          <w:color w:val="000000" w:themeColor="text1"/>
          <w:sz w:val="21"/>
          <w:szCs w:val="21"/>
          <w14:textFill>
            <w14:solidFill>
              <w14:schemeClr w14:val="tx1"/>
            </w14:solidFill>
          </w14:textFill>
        </w:rPr>
        <w:t xml:space="preserve">Local: Portal de Compras do Governo Federal – </w:t>
      </w:r>
      <w:r>
        <w:fldChar w:fldCharType="begin"/>
      </w:r>
      <w:r>
        <w:instrText xml:space="preserve"> HYPERLINK "http://www.comprasgovernamentais.gov.br/" \h </w:instrText>
      </w:r>
      <w:r>
        <w:fldChar w:fldCharType="separate"/>
      </w:r>
      <w:r>
        <w:rPr>
          <w:rStyle w:val="15"/>
          <w:rFonts w:cs="Arial"/>
          <w:sz w:val="21"/>
          <w:szCs w:val="21"/>
        </w:rPr>
        <w:t>www.comprasgovernamentais.gov.br</w:t>
      </w:r>
      <w:r>
        <w:rPr>
          <w:rStyle w:val="15"/>
          <w:rFonts w:cs="Arial"/>
          <w:sz w:val="21"/>
          <w:szCs w:val="21"/>
        </w:rPr>
        <w:fldChar w:fldCharType="end"/>
      </w:r>
      <w:r>
        <w:rPr>
          <w:rFonts w:cs="Arial"/>
          <w:color w:val="000000" w:themeColor="text1"/>
          <w:sz w:val="21"/>
          <w:szCs w:val="21"/>
          <w14:textFill>
            <w14:solidFill>
              <w14:schemeClr w14:val="tx1"/>
            </w14:solidFill>
          </w14:textFill>
        </w:rPr>
        <w:t xml:space="preserve"> </w:t>
      </w:r>
    </w:p>
    <w:p>
      <w:pPr>
        <w:spacing w:after="120"/>
        <w:jc w:val="both"/>
        <w:rPr>
          <w:rFonts w:cs="Arial"/>
          <w:color w:val="000000" w:themeColor="text1"/>
          <w:sz w:val="21"/>
          <w:szCs w:val="21"/>
          <w14:textFill>
            <w14:solidFill>
              <w14:schemeClr w14:val="tx1"/>
            </w14:solidFill>
          </w14:textFill>
        </w:rPr>
      </w:pPr>
    </w:p>
    <w:p>
      <w:pPr>
        <w:pStyle w:val="93"/>
        <w:widowControl/>
        <w:numPr>
          <w:ilvl w:val="0"/>
          <w:numId w:val="2"/>
        </w:numPr>
        <w:spacing w:before="120" w:after="120"/>
        <w:rPr>
          <w:rFonts w:ascii="Arial" w:hAnsi="Arial" w:cs="Arial"/>
          <w:b/>
          <w:color w:val="000000"/>
          <w:sz w:val="21"/>
          <w:szCs w:val="21"/>
        </w:rPr>
      </w:pPr>
      <w:r>
        <w:rPr>
          <w:rFonts w:ascii="Arial" w:hAnsi="Arial" w:cs="Arial"/>
          <w:b/>
          <w:sz w:val="21"/>
          <w:szCs w:val="21"/>
        </w:rPr>
        <w:t>DO OBJETO</w:t>
      </w:r>
    </w:p>
    <w:p>
      <w:pPr>
        <w:pStyle w:val="93"/>
        <w:widowControl/>
        <w:numPr>
          <w:ilvl w:val="1"/>
          <w:numId w:val="3"/>
        </w:numPr>
        <w:spacing w:before="120" w:after="120"/>
        <w:ind w:left="708" w:firstLine="0"/>
        <w:rPr>
          <w:rFonts w:ascii="Arial" w:hAnsi="Arial" w:cs="Arial"/>
          <w:i/>
          <w:iCs/>
          <w:color w:val="FF0000"/>
          <w:sz w:val="21"/>
          <w:szCs w:val="21"/>
        </w:rPr>
      </w:pPr>
      <w:r>
        <w:rPr>
          <w:rFonts w:ascii="Arial" w:hAnsi="Arial" w:cs="Arial"/>
          <w:color w:val="000000"/>
          <w:sz w:val="21"/>
          <w:szCs w:val="21"/>
        </w:rPr>
        <w:t xml:space="preserve">O objeto da presente licitação é a escolha da proposta mais vantajosa para a </w:t>
      </w:r>
      <w:r>
        <w:rPr>
          <w:rFonts w:ascii="Arial" w:hAnsi="Arial" w:cs="Arial"/>
          <w:color w:val="00000A"/>
          <w:sz w:val="21"/>
          <w:szCs w:val="21"/>
        </w:rPr>
        <w:t>contratação d</w:t>
      </w:r>
      <w:r>
        <w:rPr>
          <w:rFonts w:ascii="Arial" w:hAnsi="Arial" w:cs="Arial"/>
          <w:color w:val="000000"/>
          <w:sz w:val="21"/>
          <w:szCs w:val="21"/>
        </w:rPr>
        <w:t>e serviços de</w:t>
      </w:r>
      <w:r>
        <w:rPr>
          <w:rFonts w:ascii="Arial" w:hAnsi="Arial" w:cs="Arial"/>
          <w:sz w:val="21"/>
          <w:szCs w:val="21"/>
        </w:rPr>
        <w:t xml:space="preserve"> </w:t>
      </w:r>
      <w:r>
        <w:rPr>
          <w:rFonts w:ascii="Arial" w:hAnsi="Arial" w:cs="Arial"/>
          <w:color w:val="000000"/>
          <w:sz w:val="21"/>
          <w:szCs w:val="21"/>
        </w:rPr>
        <w:t xml:space="preserve">tecnologia da informação e comunicação, de natureza continuada, </w:t>
      </w:r>
      <w:r>
        <w:rPr>
          <w:rFonts w:ascii="Arial" w:hAnsi="Arial"/>
          <w:color w:val="000000"/>
          <w:sz w:val="21"/>
          <w:szCs w:val="21"/>
        </w:rPr>
        <w:t>de impressão corporativa - outsourcing de impressão, na modalidade de franquia mensal mais excedente, compreendendo o fornecimento, instalação, configuração e a cessão de direito de uso de equipamentos de impressão digital, contemplando a impressão, cópia e digitalização - sem ônus - incluindo a prestação de serviços de manutenção preventiva e corretiva, reposição de peças, suprimentos e insumos originais ou certificados pelo fabricante, exceto papel, sistemas para gerenciamento, monitoramento, controle de cotas de impressão, gestão de ativos e contabilização - bilhetagem - de documentos impressos e copiados, visando atender às necessidades institucionais</w:t>
      </w:r>
      <w:r>
        <w:rPr>
          <w:rFonts w:ascii="Arial" w:hAnsi="Arial" w:cs="Arial"/>
          <w:b/>
          <w:bCs/>
          <w:color w:val="000000"/>
          <w:sz w:val="21"/>
          <w:szCs w:val="21"/>
        </w:rPr>
        <w:t>,</w:t>
      </w:r>
      <w:r>
        <w:rPr>
          <w:rFonts w:ascii="Arial" w:hAnsi="Arial" w:cs="Arial"/>
          <w:color w:val="000000"/>
          <w:sz w:val="21"/>
          <w:szCs w:val="21"/>
        </w:rPr>
        <w:t xml:space="preserve"> conforme condições, quantidades e exigências estabelecidas neste Edital e seus anexos.</w:t>
      </w:r>
    </w:p>
    <w:p>
      <w:pPr>
        <w:pStyle w:val="93"/>
        <w:widowControl/>
        <w:numPr>
          <w:ilvl w:val="1"/>
          <w:numId w:val="3"/>
        </w:numPr>
        <w:spacing w:before="120" w:after="120"/>
        <w:ind w:left="708" w:firstLine="0"/>
        <w:rPr>
          <w:rFonts w:ascii="Arial" w:hAnsi="Arial" w:cs="Arial"/>
          <w:color w:val="000000"/>
          <w:sz w:val="21"/>
          <w:szCs w:val="21"/>
        </w:rPr>
      </w:pPr>
      <w:r>
        <w:rPr>
          <w:rFonts w:ascii="Arial" w:hAnsi="Arial" w:cs="Arial"/>
          <w:color w:val="000000"/>
          <w:sz w:val="21"/>
          <w:szCs w:val="21"/>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pPr>
        <w:pStyle w:val="93"/>
        <w:widowControl/>
        <w:numPr>
          <w:ilvl w:val="1"/>
          <w:numId w:val="3"/>
        </w:numPr>
        <w:spacing w:before="120" w:after="120"/>
        <w:ind w:left="708" w:firstLine="0"/>
        <w:rPr>
          <w:rFonts w:ascii="Arial" w:hAnsi="Arial" w:cs="Arial"/>
          <w:color w:val="000000"/>
          <w:sz w:val="21"/>
          <w:szCs w:val="21"/>
        </w:rPr>
      </w:pPr>
      <w:r>
        <w:rPr>
          <w:rFonts w:ascii="Arial" w:hAnsi="Arial" w:cs="Arial"/>
          <w:color w:val="000000"/>
          <w:sz w:val="21"/>
          <w:szCs w:val="21"/>
        </w:rPr>
        <w:t>O critério de julgamento adotado será o menor preço GLOBAL do grupo, observadas as exigências contidas neste Edital e seus Anexos quanto às especificações do objeto.</w:t>
      </w:r>
    </w:p>
    <w:p>
      <w:pPr>
        <w:pStyle w:val="93"/>
        <w:widowControl/>
        <w:numPr>
          <w:ilvl w:val="1"/>
          <w:numId w:val="3"/>
        </w:numPr>
        <w:spacing w:before="120" w:after="120"/>
        <w:ind w:left="708" w:firstLine="0"/>
        <w:rPr>
          <w:rFonts w:ascii="Arial" w:hAnsi="Arial" w:cs="Arial"/>
          <w:color w:val="000000"/>
          <w:sz w:val="21"/>
          <w:szCs w:val="21"/>
        </w:rPr>
      </w:pPr>
      <w:r>
        <w:rPr>
          <w:rFonts w:ascii="Arial" w:hAnsi="Arial" w:cs="Arial"/>
          <w:color w:val="000000"/>
          <w:sz w:val="21"/>
          <w:szCs w:val="21"/>
        </w:rPr>
        <w:t>Cada serviço ou produto do lote deverá estar discriminado em itens separados nas propostas de preços, de modo a permitir a identificação do seu preço individual na composição do preço global, e a eventual incidência sobre cada item das margens de preferência para produtos e serviços que atendam às Normas Técnicas Brasileiras - NTB</w:t>
      </w:r>
    </w:p>
    <w:p>
      <w:pPr>
        <w:pStyle w:val="93"/>
        <w:widowControl/>
        <w:spacing w:before="120" w:after="120"/>
        <w:ind w:left="405" w:firstLine="0"/>
        <w:rPr>
          <w:rFonts w:ascii="Arial" w:hAnsi="Arial" w:cs="Arial"/>
          <w:color w:val="FF0000"/>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 xml:space="preserve"> DO REGISTRO DE PREÇOS </w:t>
      </w:r>
    </w:p>
    <w:p>
      <w:pPr>
        <w:pStyle w:val="110"/>
        <w:keepNext/>
        <w:numPr>
          <w:ilvl w:val="0"/>
          <w:numId w:val="3"/>
        </w:numPr>
        <w:shd w:val="clear" w:color="auto" w:fill="FFFFFF"/>
        <w:suppressAutoHyphens/>
        <w:spacing w:before="120" w:after="120"/>
        <w:contextualSpacing w:val="0"/>
        <w:jc w:val="both"/>
        <w:rPr>
          <w:rFonts w:eastAsia="WenQuanYi Micro Hei" w:cs="Arial"/>
          <w:vanish/>
          <w:color w:val="000000"/>
          <w:sz w:val="21"/>
          <w:szCs w:val="21"/>
          <w:lang w:eastAsia="hi-IN" w:bidi="hi-IN"/>
        </w:rPr>
      </w:pPr>
    </w:p>
    <w:p>
      <w:pPr>
        <w:pStyle w:val="93"/>
        <w:widowControl/>
        <w:numPr>
          <w:ilvl w:val="1"/>
          <w:numId w:val="3"/>
        </w:numPr>
        <w:spacing w:before="120" w:after="120"/>
        <w:ind w:left="709" w:firstLine="0"/>
        <w:rPr>
          <w:rFonts w:ascii="Arial" w:hAnsi="Arial" w:cs="Arial"/>
          <w:color w:val="000000"/>
          <w:sz w:val="21"/>
          <w:szCs w:val="21"/>
        </w:rPr>
      </w:pPr>
      <w:r>
        <w:rPr>
          <w:rFonts w:ascii="Arial" w:hAnsi="Arial" w:cs="Arial"/>
          <w:color w:val="000000"/>
          <w:sz w:val="21"/>
          <w:szCs w:val="21"/>
        </w:rPr>
        <w:t>As regras referentes aos órgãos gerenciador e participantes, bem como a eventuais adesões são as que constam da minuta de Ata de Registro de Preços.</w:t>
      </w:r>
    </w:p>
    <w:p>
      <w:pPr>
        <w:pStyle w:val="93"/>
        <w:widowControl/>
        <w:spacing w:before="120" w:after="120"/>
        <w:rPr>
          <w:rFonts w:ascii="Arial" w:hAnsi="Arial" w:cs="Arial"/>
          <w:color w:val="000000"/>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CREDENCIAMENTO</w:t>
      </w:r>
    </w:p>
    <w:p>
      <w:pPr>
        <w:pStyle w:val="93"/>
        <w:widowControl/>
        <w:numPr>
          <w:ilvl w:val="1"/>
          <w:numId w:val="4"/>
        </w:numPr>
        <w:spacing w:before="120" w:after="120"/>
        <w:ind w:left="708" w:firstLine="0"/>
        <w:rPr>
          <w:rFonts w:ascii="Arial" w:hAnsi="Arial" w:cs="Arial"/>
          <w:b/>
          <w:bCs/>
          <w:sz w:val="21"/>
          <w:szCs w:val="21"/>
        </w:rPr>
      </w:pPr>
      <w:r>
        <w:rPr>
          <w:rFonts w:ascii="Arial" w:hAnsi="Arial" w:cs="Arial"/>
          <w:color w:val="000000"/>
          <w:sz w:val="21"/>
          <w:szCs w:val="21"/>
        </w:rPr>
        <w:t>O Credenciamento é o nível básico do registro cadastral no SICAF, que permite a participação dos interessados na modalidade licitatória Pregão, em sua forma eletrônica.</w:t>
      </w:r>
    </w:p>
    <w:p>
      <w:pPr>
        <w:pStyle w:val="93"/>
        <w:widowControl/>
        <w:numPr>
          <w:ilvl w:val="1"/>
          <w:numId w:val="4"/>
        </w:numPr>
        <w:spacing w:before="120" w:after="120"/>
        <w:ind w:left="708" w:firstLine="0"/>
      </w:pPr>
      <w:r>
        <w:rPr>
          <w:rFonts w:ascii="Arial" w:hAnsi="Arial" w:cs="Arial"/>
          <w:color w:val="000000"/>
          <w:sz w:val="21"/>
          <w:szCs w:val="21"/>
        </w:rPr>
        <w:t xml:space="preserve">O cadastro no SICAF deverá ser feito no Portal de Compras do Governo Federal, no sítio </w:t>
      </w:r>
      <w:r>
        <w:fldChar w:fldCharType="begin"/>
      </w:r>
      <w:r>
        <w:instrText xml:space="preserve"> HYPERLINK \h </w:instrText>
      </w:r>
      <w:r>
        <w:fldChar w:fldCharType="separate"/>
      </w:r>
      <w:r>
        <w:rPr>
          <w:rStyle w:val="15"/>
          <w:rFonts w:ascii="Arial" w:hAnsi="Arial" w:cs="Arial"/>
          <w:sz w:val="21"/>
          <w:szCs w:val="21"/>
        </w:rPr>
        <w:t>www.comprasgovernamentais.gov.br</w:t>
      </w:r>
      <w:r>
        <w:rPr>
          <w:rStyle w:val="15"/>
          <w:rFonts w:ascii="Arial" w:hAnsi="Arial" w:cs="Arial"/>
          <w:sz w:val="21"/>
          <w:szCs w:val="21"/>
        </w:rPr>
        <w:fldChar w:fldCharType="end"/>
      </w:r>
      <w:r>
        <w:rPr>
          <w:rFonts w:ascii="Arial" w:hAnsi="Arial" w:cs="Arial"/>
          <w:color w:val="000000"/>
          <w:sz w:val="21"/>
          <w:szCs w:val="21"/>
        </w:rPr>
        <w:t xml:space="preserve">, por meio de certificado digital conferido pela Infraestrutura de Chaves Públicas Brasileira – ICP - Brasil. </w:t>
      </w:r>
    </w:p>
    <w:p>
      <w:pPr>
        <w:pStyle w:val="93"/>
        <w:widowControl/>
        <w:numPr>
          <w:ilvl w:val="1"/>
          <w:numId w:val="4"/>
        </w:numPr>
        <w:spacing w:before="120" w:after="120"/>
        <w:ind w:left="708" w:firstLine="0"/>
        <w:rPr>
          <w:rFonts w:ascii="Arial" w:hAnsi="Arial" w:cs="Arial"/>
          <w:color w:val="000000"/>
          <w:sz w:val="21"/>
          <w:szCs w:val="21"/>
        </w:rPr>
      </w:pPr>
      <w:r>
        <w:rPr>
          <w:rFonts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pPr>
        <w:pStyle w:val="93"/>
        <w:widowControl/>
        <w:numPr>
          <w:ilvl w:val="1"/>
          <w:numId w:val="4"/>
        </w:numPr>
        <w:spacing w:before="120" w:after="120"/>
        <w:ind w:left="708" w:firstLine="0"/>
        <w:rPr>
          <w:rFonts w:ascii="Arial" w:hAnsi="Arial" w:cs="Arial"/>
          <w:color w:val="000000"/>
          <w:sz w:val="21"/>
          <w:szCs w:val="21"/>
        </w:rPr>
      </w:pPr>
      <w:r>
        <w:rPr>
          <w:rFonts w:ascii="Arial" w:hAnsi="Arial" w:cs="Arial"/>
          <w:color w:val="000000"/>
          <w:sz w:val="21"/>
          <w:szCs w:val="21"/>
        </w:rPr>
        <w:t>O licitante responsabiliza-se exclusiva e formalmente pelas transações efetuadas em seu nome, assumir como firmes e verdadeiras suas propostas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93"/>
        <w:widowControl/>
        <w:numPr>
          <w:ilvl w:val="1"/>
          <w:numId w:val="4"/>
        </w:numPr>
        <w:spacing w:before="120" w:after="120"/>
        <w:ind w:left="708" w:firstLine="0"/>
        <w:rPr>
          <w:rFonts w:ascii="Arial" w:hAnsi="Arial" w:cs="Arial"/>
          <w:sz w:val="21"/>
          <w:szCs w:val="21"/>
        </w:rPr>
      </w:pPr>
      <w:r>
        <w:rPr>
          <w:rFonts w:ascii="Arial" w:hAnsi="Arial" w:cs="Arial"/>
          <w:color w:val="000000"/>
          <w:sz w:val="21"/>
          <w:szCs w:val="21"/>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93"/>
        <w:widowControl/>
        <w:numPr>
          <w:ilvl w:val="2"/>
          <w:numId w:val="4"/>
        </w:numPr>
        <w:spacing w:before="120" w:after="120"/>
        <w:ind w:left="1128" w:firstLine="0"/>
        <w:rPr>
          <w:rFonts w:ascii="Arial" w:hAnsi="Arial" w:cs="Arial"/>
          <w:sz w:val="21"/>
          <w:szCs w:val="21"/>
        </w:rPr>
      </w:pPr>
      <w:r>
        <w:rPr>
          <w:rFonts w:ascii="Arial" w:hAnsi="Arial" w:cs="Arial"/>
          <w:color w:val="000000"/>
          <w:sz w:val="21"/>
          <w:szCs w:val="21"/>
        </w:rPr>
        <w:t>A não observância do disposto no subitem anterior poderá ensejar desclassificação no momento da habilitação</w:t>
      </w:r>
    </w:p>
    <w:p>
      <w:pPr>
        <w:pStyle w:val="93"/>
        <w:widowControl/>
        <w:spacing w:before="120" w:after="120"/>
        <w:ind w:left="1128"/>
        <w:rPr>
          <w:rFonts w:ascii="Arial" w:hAnsi="Arial" w:cs="Arial"/>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PARTICIPAÇÃO NO PREGÃO.</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Poderão participar deste Pregão interessados cujo ramo de atividade seja compatível com o objeto desta licitação, e que estejam com Credenciamento regular no Sistema de Cadastramento Unificado de Fornecedores – SICAF, conforme disposto no art. 9º da IN SEGES/MP n.° 3, de 2018.</w:t>
      </w:r>
    </w:p>
    <w:p>
      <w:pPr>
        <w:pStyle w:val="93"/>
        <w:widowControl/>
        <w:numPr>
          <w:ilvl w:val="2"/>
          <w:numId w:val="5"/>
        </w:numPr>
        <w:spacing w:before="120" w:after="120"/>
        <w:ind w:left="1128" w:firstLine="0"/>
        <w:rPr>
          <w:rFonts w:ascii="Arial" w:hAnsi="Arial" w:cs="Arial"/>
          <w:sz w:val="21"/>
          <w:szCs w:val="21"/>
        </w:rPr>
      </w:pPr>
      <w:r>
        <w:rPr>
          <w:rFonts w:ascii="Arial" w:hAnsi="Arial" w:cs="Arial"/>
          <w:color w:val="000000"/>
          <w:sz w:val="21"/>
          <w:szCs w:val="21"/>
        </w:rPr>
        <w:t>Os licitantes deverão utilizar o certificado digital para acesso ao Sistema</w:t>
      </w:r>
    </w:p>
    <w:p>
      <w:pPr>
        <w:pStyle w:val="93"/>
        <w:widowControl/>
        <w:numPr>
          <w:ilvl w:val="2"/>
          <w:numId w:val="5"/>
        </w:numPr>
        <w:spacing w:before="120" w:after="120"/>
        <w:ind w:left="1128" w:firstLine="0"/>
        <w:rPr>
          <w:rFonts w:ascii="Arial" w:hAnsi="Arial" w:cs="Arial"/>
          <w:color w:val="auto"/>
          <w:sz w:val="21"/>
          <w:szCs w:val="21"/>
        </w:rPr>
      </w:pPr>
      <w:r>
        <w:rPr>
          <w:rFonts w:ascii="Arial" w:hAnsi="Arial" w:cs="Arial"/>
          <w:color w:val="auto"/>
          <w:sz w:val="21"/>
          <w:szCs w:val="21"/>
        </w:rPr>
        <w:t xml:space="preserve">Para os </w:t>
      </w:r>
      <w:r>
        <w:rPr>
          <w:rFonts w:hint="default" w:ascii="Arial" w:hAnsi="Arial" w:cs="Arial"/>
          <w:b/>
          <w:bCs/>
          <w:i/>
          <w:iCs/>
          <w:color w:val="auto"/>
          <w:sz w:val="21"/>
          <w:szCs w:val="21"/>
          <w:lang w:val="pt-BR"/>
        </w:rPr>
        <w:t>GRUPOS V e XI</w:t>
      </w:r>
      <w:r>
        <w:rPr>
          <w:rFonts w:ascii="Arial" w:hAnsi="Arial" w:cs="Arial"/>
          <w:color w:val="auto"/>
          <w:sz w:val="21"/>
          <w:szCs w:val="21"/>
        </w:rPr>
        <w:t>, a participação é exclusiva a microempresas e empresas de pequeno porte, nos termos do art. 48 da Lei Complementar n.° 123, de 14 de dezembro de 2006.</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Não poderão participar desta licitação os interessados:</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proibidos de participar de licitações e celebrar contratos administrativos, na forma da legislação vigente;</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não atendam às condições deste Edital e seu(s) anexo(s);</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estrangeiros que não tenham representação legal no Brasil com poderes expressos para receber citação e responder administrativa ou judicialmente;</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se enquadrem nas vedações previstas no artigo 9º da Lei n.° 8.666, de 1993;</w:t>
      </w:r>
    </w:p>
    <w:p>
      <w:pPr>
        <w:pStyle w:val="93"/>
        <w:widowControl/>
        <w:numPr>
          <w:ilvl w:val="2"/>
          <w:numId w:val="5"/>
        </w:numPr>
        <w:spacing w:before="120" w:after="120"/>
        <w:ind w:left="1128" w:firstLine="0"/>
        <w:rPr>
          <w:rFonts w:ascii="Arial" w:hAnsi="Arial" w:cs="Arial"/>
          <w:color w:val="000000"/>
          <w:sz w:val="21"/>
          <w:szCs w:val="21"/>
        </w:rPr>
      </w:pPr>
      <w:bookmarkStart w:id="0" w:name="_Hlk519667653"/>
      <w:bookmarkEnd w:id="0"/>
      <w:r>
        <w:rPr>
          <w:rFonts w:ascii="Arial" w:hAnsi="Arial" w:cs="Arial"/>
          <w:color w:val="000000"/>
          <w:sz w:val="21"/>
          <w:szCs w:val="21"/>
        </w:rPr>
        <w:t>que estejam sob falência, concurso de credores, concordata ou insolvência, em processo de dissolução ou liquidação;</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entidades empresariais que estejam reunidas em consórcio;</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 xml:space="preserve">organizações da Sociedade Civil de Interesse Público - OSCIP, atuando nessa condição (Acórdão n.° 746/2014-TCU-Plenário); </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instituições sem fins lucrativos (parágrafo único do art. 12 da Instrução Normativa/SEGES n.° 05/2017)</w:t>
      </w:r>
    </w:p>
    <w:p>
      <w:pPr>
        <w:pStyle w:val="93"/>
        <w:widowControl/>
        <w:numPr>
          <w:ilvl w:val="3"/>
          <w:numId w:val="5"/>
        </w:numPr>
        <w:spacing w:before="120" w:after="120"/>
        <w:ind w:left="1548" w:firstLine="0"/>
        <w:rPr>
          <w:rFonts w:ascii="Arial" w:hAnsi="Arial" w:cs="Arial"/>
          <w:color w:val="000000"/>
          <w:sz w:val="21"/>
          <w:szCs w:val="21"/>
        </w:rPr>
      </w:pPr>
      <w:r>
        <w:rPr>
          <w:rFonts w:ascii="Arial" w:hAnsi="Arial" w:cs="Arial"/>
          <w:color w:val="000000"/>
          <w:sz w:val="21"/>
          <w:szCs w:val="21"/>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 1.406/2017- TCU-Plenário), mediante apresentação do Contrato de Gestão e dos respectivos atos constitutivos.</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sociedades cooperativas, considerando a vedação contida no art. 10 da Instrução Normativa SEGES/MP n.°</w:t>
      </w:r>
      <w:bookmarkStart w:id="1" w:name="_Hlk519667815"/>
      <w:bookmarkEnd w:id="1"/>
      <w:r>
        <w:rPr>
          <w:rFonts w:ascii="Arial" w:hAnsi="Arial" w:cs="Arial"/>
          <w:color w:val="000000"/>
          <w:sz w:val="21"/>
          <w:szCs w:val="21"/>
        </w:rPr>
        <w:t xml:space="preserve"> 5, de 2017, bem como o disposto no Termo de Conciliação firmado entre o Ministério Público do Trabalho e a AGU..</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Nos termos do art. 5º do Decreto n.° 9.507, de 2018, é vedada a contratação de pessoa jurídica na qual haja administrador ou sócio com poder de direção, familiar de:</w:t>
      </w:r>
    </w:p>
    <w:p>
      <w:pPr>
        <w:pStyle w:val="93"/>
        <w:widowControl/>
        <w:numPr>
          <w:ilvl w:val="0"/>
          <w:numId w:val="6"/>
        </w:numPr>
        <w:tabs>
          <w:tab w:val="left" w:pos="1460"/>
          <w:tab w:val="clear" w:pos="425"/>
        </w:tabs>
        <w:spacing w:before="120" w:after="120"/>
        <w:ind w:left="1460"/>
        <w:rPr>
          <w:rFonts w:ascii="Arial" w:hAnsi="Arial"/>
          <w:color w:val="00000A"/>
          <w:sz w:val="21"/>
          <w:szCs w:val="21"/>
        </w:rPr>
      </w:pPr>
      <w:r>
        <w:rPr>
          <w:rFonts w:ascii="Arial" w:hAnsi="Arial"/>
          <w:color w:val="00000A"/>
          <w:sz w:val="21"/>
          <w:szCs w:val="21"/>
        </w:rPr>
        <w:t>detentor de cargo em comissão ou função de confiança que atue na área responsável pela demanda ou contratação; ou</w:t>
      </w:r>
    </w:p>
    <w:p>
      <w:pPr>
        <w:pStyle w:val="93"/>
        <w:widowControl/>
        <w:numPr>
          <w:ilvl w:val="0"/>
          <w:numId w:val="6"/>
        </w:numPr>
        <w:tabs>
          <w:tab w:val="left" w:pos="1460"/>
          <w:tab w:val="clear" w:pos="425"/>
        </w:tabs>
        <w:spacing w:before="120" w:after="120"/>
        <w:ind w:left="1460"/>
        <w:rPr>
          <w:rFonts w:ascii="Arial" w:hAnsi="Arial"/>
          <w:color w:val="00000A"/>
          <w:sz w:val="21"/>
          <w:szCs w:val="21"/>
        </w:rPr>
      </w:pPr>
      <w:r>
        <w:rPr>
          <w:rFonts w:ascii="Arial" w:hAnsi="Arial"/>
          <w:color w:val="00000A"/>
          <w:sz w:val="21"/>
          <w:szCs w:val="21"/>
        </w:rPr>
        <w:t>de autoridade hierarquicamente superior no âmbito do órgão contratante.</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 xml:space="preserve">Para os fins do disposto neste item, considera-se familiar o cônjuge, o companheiro ou o parente em linha reta ou colateral, por consanguinidade ou afinidade, até o terceiro grau (Súmula Vinculante/STF n.° 13, art. 5º, inciso V, da Lei n.° 12.813, de 16 de maio de 2013 e art. 2º, inciso III, do Decreto n.º 7.203, de 04 de junho de 2010); </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pPr>
        <w:pStyle w:val="93"/>
        <w:widowControl/>
        <w:numPr>
          <w:ilvl w:val="1"/>
          <w:numId w:val="5"/>
        </w:numPr>
        <w:spacing w:before="120" w:after="120"/>
        <w:ind w:left="708" w:firstLine="0"/>
        <w:rPr>
          <w:rFonts w:ascii="Arial" w:hAnsi="Arial" w:cs="Arial"/>
          <w:color w:val="000000"/>
          <w:sz w:val="21"/>
          <w:szCs w:val="21"/>
        </w:rPr>
      </w:pPr>
      <w:r>
        <w:rPr>
          <w:rFonts w:ascii="Arial" w:hAnsi="Arial" w:cs="Arial"/>
          <w:color w:val="00000A"/>
          <w:sz w:val="21"/>
          <w:szCs w:val="21"/>
        </w:rPr>
        <w:t xml:space="preserve">Como condição para participação no Pregão, o licitante assinalará “sim” ou “não” em campo próprio do sistema eletrônico, relativo às seguintes declarações: </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cumpre os requisitos estabelecidos no artigo 3° da Lei Complementar n.° 123, de 2006, estando apto a usufruir do tratamento favorecido estabelecido em seus arts. 42 a 49.</w:t>
      </w:r>
    </w:p>
    <w:p>
      <w:pPr>
        <w:pStyle w:val="93"/>
        <w:widowControl/>
        <w:numPr>
          <w:ilvl w:val="3"/>
          <w:numId w:val="5"/>
        </w:numPr>
        <w:spacing w:before="120" w:after="120"/>
        <w:ind w:left="1548" w:firstLine="0"/>
        <w:rPr>
          <w:rFonts w:ascii="Arial" w:hAnsi="Arial" w:cs="Arial"/>
          <w:color w:val="000000"/>
          <w:sz w:val="21"/>
          <w:szCs w:val="21"/>
        </w:rPr>
      </w:pPr>
      <w:r>
        <w:rPr>
          <w:rFonts w:ascii="Arial" w:hAnsi="Arial" w:cs="Arial"/>
          <w:bCs/>
          <w:color w:val="000000"/>
          <w:sz w:val="21"/>
          <w:szCs w:val="21"/>
        </w:rPr>
        <w:t>nos itens exclusivos para participação de microempresas e empresas de pequeno porte, a assinalação do campo “não” impedirá o prosseguimento no certame;</w:t>
      </w:r>
    </w:p>
    <w:p>
      <w:pPr>
        <w:pStyle w:val="93"/>
        <w:widowControl/>
        <w:numPr>
          <w:ilvl w:val="3"/>
          <w:numId w:val="5"/>
        </w:numPr>
        <w:spacing w:before="120" w:after="120"/>
        <w:ind w:left="1548" w:firstLine="0"/>
        <w:rPr>
          <w:rFonts w:ascii="Arial" w:hAnsi="Arial" w:cs="Arial"/>
          <w:color w:val="000000"/>
          <w:sz w:val="21"/>
          <w:szCs w:val="21"/>
        </w:rPr>
      </w:pPr>
      <w:r>
        <w:rPr>
          <w:rFonts w:ascii="Arial" w:hAnsi="Arial" w:cs="Arial"/>
          <w:color w:val="000000"/>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cs="Arial"/>
          <w:color w:val="000000"/>
          <w:sz w:val="21"/>
          <w:szCs w:val="21"/>
        </w:rPr>
        <w:t>n.°</w:t>
      </w:r>
      <w:r>
        <w:rPr>
          <w:rFonts w:ascii="Arial" w:hAnsi="Arial" w:cs="Arial"/>
          <w:color w:val="000000"/>
          <w:sz w:val="21"/>
          <w:szCs w:val="21"/>
        </w:rPr>
        <w:t xml:space="preserve"> 123, de 2006, mesmo que microempresa, empresa de pequeno porte ou sociedade cooperativa.</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está ciente e concorda com as condições contidas no Edital e seus anexos;</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cumpre plenamente os requisitos de habilitação definidos no Edital e que a proposta apresentada está em conformidade com as exigências editalícias;</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 xml:space="preserve">que inexistem fatos impeditivos para sua habilitação no certame, ciente da obrigatoriedade de declarar ocorrências posteriores; </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não emprega menor de 18 anos em trabalho noturno, perigoso ou insalubre e não emprega menor de 16 anos, salvo menor, a partir de 14 anos, na condição de aprendiz, nos termos do artigo 7°, XXXIII, da Constituição;</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que a proposta foi elaborada de forma independente, nos termos da Instrução Normativa SLTI/MP n.° 2, de 16 de setembro de 2009.</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 xml:space="preserve"> que não possui, em sua cadeia produtiva, empregados executando trabalho degradante ou forçado, observando o disposto nos incisos III e IV do art. 1º e no inciso III do art. 5º da Constituição Federal;</w:t>
      </w:r>
    </w:p>
    <w:p>
      <w:pPr>
        <w:pStyle w:val="93"/>
        <w:widowControl/>
        <w:numPr>
          <w:ilvl w:val="2"/>
          <w:numId w:val="5"/>
        </w:numPr>
        <w:spacing w:before="120" w:after="120"/>
        <w:ind w:left="1128" w:firstLine="0"/>
        <w:rPr>
          <w:rFonts w:ascii="Arial" w:hAnsi="Arial" w:cs="Arial"/>
          <w:color w:val="000000"/>
          <w:sz w:val="21"/>
          <w:szCs w:val="21"/>
        </w:rPr>
      </w:pPr>
      <w:r>
        <w:rPr>
          <w:rFonts w:ascii="Arial" w:hAnsi="Arial" w:cs="Arial"/>
          <w:color w:val="000000"/>
          <w:sz w:val="21"/>
          <w:szCs w:val="21"/>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 8.213, de 24 de julho de 1991.</w:t>
      </w:r>
    </w:p>
    <w:p>
      <w:pPr>
        <w:pStyle w:val="93"/>
        <w:widowControl/>
        <w:numPr>
          <w:ilvl w:val="2"/>
          <w:numId w:val="5"/>
        </w:numPr>
        <w:spacing w:before="120" w:after="120"/>
        <w:ind w:left="1128" w:firstLine="0"/>
        <w:rPr>
          <w:rFonts w:ascii="Arial" w:hAnsi="Arial" w:eastAsia="Zurich BT" w:cs="Arial"/>
          <w:sz w:val="21"/>
          <w:szCs w:val="21"/>
        </w:rPr>
      </w:pPr>
      <w:r>
        <w:rPr>
          <w:rFonts w:ascii="Arial" w:hAnsi="Arial" w:cs="Arial"/>
          <w:color w:val="000000"/>
          <w:sz w:val="21"/>
          <w:szCs w:val="21"/>
        </w:rPr>
        <w:t>que cumpre os requisitos do Decreto n. 7.174, de 2010, estando apto a usufruir dos critérios de preferência.</w:t>
      </w:r>
    </w:p>
    <w:p>
      <w:pPr>
        <w:pStyle w:val="93"/>
        <w:widowControl/>
        <w:numPr>
          <w:ilvl w:val="3"/>
          <w:numId w:val="5"/>
        </w:numPr>
        <w:spacing w:before="120" w:after="120"/>
        <w:ind w:left="1548" w:firstLine="0"/>
        <w:rPr>
          <w:rFonts w:ascii="Arial" w:hAnsi="Arial" w:eastAsia="Zurich BT" w:cs="Arial"/>
          <w:sz w:val="21"/>
          <w:szCs w:val="21"/>
        </w:rPr>
      </w:pPr>
      <w:r>
        <w:rPr>
          <w:rFonts w:ascii="Arial" w:hAnsi="Arial" w:eastAsia="Zurich BT" w:cs="Arial"/>
          <w:sz w:val="21"/>
          <w:szCs w:val="21"/>
        </w:rPr>
        <w:t xml:space="preserve">a assinalação do campo “não” apenas produzirá o efeito de o licitante não ter direito ao tratamento favorecido previsto no Decreto </w:t>
      </w:r>
      <w:r>
        <w:rPr>
          <w:rFonts w:eastAsia="Zurich BT" w:cs="Arial"/>
          <w:sz w:val="21"/>
          <w:szCs w:val="21"/>
        </w:rPr>
        <w:t>n.°</w:t>
      </w:r>
      <w:r>
        <w:rPr>
          <w:rFonts w:ascii="Arial" w:hAnsi="Arial" w:eastAsia="Zurich BT" w:cs="Arial"/>
          <w:sz w:val="21"/>
          <w:szCs w:val="21"/>
        </w:rPr>
        <w:t xml:space="preserve"> 7.174, de 2010.</w:t>
      </w:r>
    </w:p>
    <w:p>
      <w:pPr>
        <w:pStyle w:val="93"/>
        <w:widowControl/>
        <w:numPr>
          <w:ilvl w:val="1"/>
          <w:numId w:val="5"/>
        </w:numPr>
        <w:spacing w:before="120" w:after="120"/>
        <w:ind w:left="708" w:firstLine="0"/>
        <w:rPr>
          <w:rFonts w:ascii="Arial" w:hAnsi="Arial" w:cs="Arial"/>
          <w:color w:val="00000A"/>
          <w:sz w:val="21"/>
          <w:szCs w:val="21"/>
        </w:rPr>
      </w:pPr>
      <w:r>
        <w:rPr>
          <w:rFonts w:ascii="Arial" w:hAnsi="Arial" w:cs="Arial"/>
          <w:color w:val="00000A"/>
          <w:sz w:val="21"/>
          <w:szCs w:val="21"/>
        </w:rPr>
        <w:t>A declaração falsa relativa ao cumprimento de qualquer condição sujeitará o licitante às sanções previstas em lei e neste Edital.</w:t>
      </w:r>
    </w:p>
    <w:p>
      <w:pPr>
        <w:pStyle w:val="93"/>
        <w:widowControl/>
        <w:spacing w:before="120" w:after="120"/>
        <w:ind w:left="708" w:firstLine="0"/>
        <w:rPr>
          <w:rFonts w:ascii="Arial" w:hAnsi="Arial" w:cs="Arial"/>
          <w:color w:val="00000A"/>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APRESENTAÇÃO DA PROPOSTA E DOS DOCUMENTOS DE HABILITAÇÃO</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Os licitantes encaminharão, exclusivamente por meio do sistema, concomitantemente com os documentos de habilitação exigidos no edital, proposta com a descrição do objeto ofertado e o preço, até a data e o horário estabelecidos para a abertura da sessão pública, quando, então, encerrar-se-á automaticamente a etapa de envio desse documento.</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O Envio da proposta, acompanhada dos documentos de habilitação exigidos neste Edital, ocorrerá por meio de chave de acesso e senha.</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Os licitantes poderão deixar de apresentar os documentos de habilitação que constem do SICAF, assegurado aos demais licitantes o direito de acesso aos dados constantes dos sistemas.</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As Microempresas e Empresas de Pequeno Porte deverão encaminhar a documentação de habilitação, ainda que haja alguma restrição de regularidade fiscal e trabalhista, nos termos do art, 43, §1º, da LC n.° 123, de 2006.</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Até a abertura da sessão pública, os licitantes poderão retirar ou substituir a proposta e os documentos de habilitação anteriormente inseridos no sistema;</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Não será estabelecida, nessa etapa do certame, ordem de classificação entre as propostas apresentadas, o que somente ocorrerá após a realização dos procedimentos de negociação e julgamento da proposta.</w:t>
      </w:r>
    </w:p>
    <w:p>
      <w:pPr>
        <w:pStyle w:val="93"/>
        <w:widowControl/>
        <w:numPr>
          <w:ilvl w:val="1"/>
          <w:numId w:val="7"/>
        </w:numPr>
        <w:spacing w:before="120" w:after="120"/>
        <w:ind w:left="708" w:firstLine="0"/>
        <w:rPr>
          <w:rFonts w:ascii="Arial" w:hAnsi="Arial" w:cs="Arial"/>
          <w:sz w:val="21"/>
          <w:szCs w:val="21"/>
        </w:rPr>
      </w:pPr>
      <w:r>
        <w:rPr>
          <w:rFonts w:ascii="Arial" w:hAnsi="Arial" w:cs="Arial"/>
          <w:sz w:val="21"/>
          <w:szCs w:val="21"/>
        </w:rPr>
        <w:t>Os documentos que compõem a proposta e a habilitação do licitante melhor classificado somente serão disponibilizados para avaliação do pregoeiro e para acesso público após o encerramento do envio de lances.</w:t>
      </w:r>
    </w:p>
    <w:p>
      <w:pPr>
        <w:pStyle w:val="93"/>
        <w:widowControl/>
        <w:spacing w:before="120" w:after="120"/>
        <w:ind w:left="708" w:firstLine="0"/>
        <w:rPr>
          <w:rFonts w:ascii="Arial" w:hAnsi="Arial" w:cs="Arial"/>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PREENCHIMENTO DA PROPOSTA</w:t>
      </w:r>
    </w:p>
    <w:p>
      <w:pPr>
        <w:pStyle w:val="93"/>
        <w:widowControl/>
        <w:numPr>
          <w:ilvl w:val="1"/>
          <w:numId w:val="8"/>
        </w:numPr>
        <w:spacing w:before="120" w:after="120"/>
        <w:ind w:left="708" w:firstLine="0"/>
        <w:rPr>
          <w:rFonts w:ascii="Arial" w:hAnsi="Arial" w:cs="Arial"/>
          <w:color w:val="000000"/>
          <w:sz w:val="21"/>
          <w:szCs w:val="21"/>
        </w:rPr>
      </w:pPr>
      <w:r>
        <w:rPr>
          <w:rFonts w:ascii="Arial" w:hAnsi="Arial" w:cs="Arial"/>
          <w:sz w:val="21"/>
          <w:szCs w:val="21"/>
        </w:rPr>
        <w:t>O licitante deverá enviar sua proposta mediante o preenchimento, no sistema eletrônico, dos seguintes campos:</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valor unitário e total do item;</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Descrição do objeto, contendo as informações similares à especificação do Termo de Referência, entre outras, a seguinte informação:</w:t>
      </w:r>
    </w:p>
    <w:p>
      <w:pPr>
        <w:pStyle w:val="93"/>
        <w:widowControl/>
        <w:numPr>
          <w:ilvl w:val="3"/>
          <w:numId w:val="8"/>
        </w:numPr>
        <w:spacing w:before="120" w:after="120"/>
        <w:ind w:left="1548" w:firstLine="0"/>
        <w:rPr>
          <w:rFonts w:ascii="Arial" w:hAnsi="Arial" w:cs="Arial"/>
          <w:color w:val="00000A"/>
          <w:sz w:val="21"/>
          <w:szCs w:val="21"/>
        </w:rPr>
      </w:pPr>
      <w:r>
        <w:rPr>
          <w:rFonts w:ascii="Arial" w:hAnsi="Arial"/>
          <w:color w:val="00000A"/>
          <w:sz w:val="21"/>
          <w:szCs w:val="21"/>
        </w:rPr>
        <w:t>Marca e modelo do equipamento;</w:t>
      </w:r>
      <w:r>
        <w:rPr>
          <w:rFonts w:ascii="Arial" w:hAnsi="Arial" w:cs="Arial"/>
          <w:color w:val="00000A"/>
          <w:sz w:val="21"/>
          <w:szCs w:val="21"/>
        </w:rPr>
        <w:t xml:space="preserve"> </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Todas as especificações do objeto contidas na proposta vinculam a Contratada.</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 5/2017. </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A empresa é a única responsável pela cotação correta dos encargos tributários. Em caso de erro ou cotação incompatível com o regime tributário a que se submete, serão adotadas as orientações a seguir:</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cotação de percentual menor que o adequado: o percentual será mantido durante toda a execução contratual;</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A"/>
          <w:sz w:val="21"/>
          <w:szCs w:val="21"/>
        </w:rPr>
        <w:t>cotação de percentual maior que o adequado: o excesso será suprimido, unilateralmente, da planilha e haverá glosa, quando do pagamento, e/ou redução, quando da repactuação, para fins de total ressarcimento do débito.</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Independentemente do percentual de tributo inserido na planilha, no pagamento dos serviços, serão retidos na fonte os percentuais estabelecidos na legislação vigente.</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93"/>
        <w:widowControl/>
        <w:numPr>
          <w:ilvl w:val="1"/>
          <w:numId w:val="8"/>
        </w:numPr>
        <w:spacing w:before="120" w:after="120"/>
        <w:ind w:left="708" w:firstLine="0"/>
        <w:rPr>
          <w:rFonts w:ascii="Arial" w:hAnsi="Arial" w:cs="Arial"/>
          <w:sz w:val="21"/>
          <w:szCs w:val="21"/>
        </w:rPr>
      </w:pPr>
      <w:r>
        <w:rPr>
          <w:rFonts w:ascii="Arial" w:hAnsi="Arial" w:cs="Arial"/>
          <w:sz w:val="21"/>
          <w:szCs w:val="21"/>
        </w:rPr>
        <w:t>O prazo de validade da proposta não será inferior a</w:t>
      </w:r>
      <w:r>
        <w:rPr>
          <w:rFonts w:ascii="Arial" w:hAnsi="Arial" w:cs="Arial"/>
          <w:b/>
          <w:bCs/>
          <w:i/>
          <w:iCs/>
          <w:sz w:val="21"/>
          <w:szCs w:val="21"/>
        </w:rPr>
        <w:t xml:space="preserve"> 60 (sessenta) dias</w:t>
      </w:r>
      <w:r>
        <w:rPr>
          <w:rFonts w:ascii="Arial" w:hAnsi="Arial" w:cs="Arial"/>
          <w:sz w:val="21"/>
          <w:szCs w:val="21"/>
        </w:rPr>
        <w:t>, a contar da data de sua apresentação.</w:t>
      </w:r>
    </w:p>
    <w:p>
      <w:pPr>
        <w:pStyle w:val="93"/>
        <w:widowControl/>
        <w:numPr>
          <w:ilvl w:val="1"/>
          <w:numId w:val="8"/>
        </w:numPr>
        <w:spacing w:before="120" w:after="120"/>
        <w:ind w:left="708" w:firstLine="0"/>
        <w:rPr>
          <w:rFonts w:ascii="Arial" w:hAnsi="Arial" w:cs="Arial"/>
          <w:color w:val="00000A"/>
          <w:sz w:val="21"/>
          <w:szCs w:val="21"/>
        </w:rPr>
      </w:pPr>
      <w:r>
        <w:rPr>
          <w:rFonts w:ascii="Arial" w:hAnsi="Arial" w:cs="Arial"/>
          <w:sz w:val="21"/>
          <w:szCs w:val="21"/>
        </w:rPr>
        <w:t xml:space="preserve">Os licitantes devem respeitar os preços máximos estabelecidos nas normas de regência de contratações públicas federais, quando participarem de licitações públicas; </w:t>
      </w:r>
    </w:p>
    <w:p>
      <w:pPr>
        <w:pStyle w:val="93"/>
        <w:widowControl/>
        <w:numPr>
          <w:ilvl w:val="2"/>
          <w:numId w:val="8"/>
        </w:numPr>
        <w:spacing w:before="120" w:after="120"/>
        <w:ind w:left="1128" w:firstLine="0"/>
        <w:rPr>
          <w:rFonts w:ascii="Arial" w:hAnsi="Arial" w:cs="Arial"/>
          <w:color w:val="00000A"/>
          <w:sz w:val="21"/>
          <w:szCs w:val="21"/>
        </w:rPr>
      </w:pPr>
      <w:r>
        <w:rPr>
          <w:rFonts w:ascii="Arial" w:hAnsi="Arial" w:cs="Arial"/>
          <w:color w:val="000000"/>
          <w:sz w:val="21"/>
          <w:szCs w:val="21"/>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93"/>
        <w:widowControl/>
        <w:spacing w:before="120" w:after="120"/>
        <w:ind w:left="1128"/>
        <w:rPr>
          <w:rFonts w:ascii="Arial" w:hAnsi="Arial" w:cs="Arial"/>
          <w:color w:val="00000A"/>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 xml:space="preserve"> DA ABERTURA DA SESSÃO, CLASSIFICAÇÃO DAS PROPOSTAS E FORMULAÇÃO DE LANCES</w:t>
      </w:r>
    </w:p>
    <w:p>
      <w:pPr>
        <w:pStyle w:val="81"/>
        <w:numPr>
          <w:ilvl w:val="1"/>
          <w:numId w:val="9"/>
        </w:numPr>
        <w:spacing w:before="120" w:after="120"/>
        <w:ind w:left="426" w:firstLine="0"/>
        <w:jc w:val="both"/>
        <w:rPr>
          <w:rFonts w:cs="Arial"/>
          <w:color w:val="000000"/>
          <w:sz w:val="21"/>
          <w:szCs w:val="21"/>
        </w:rPr>
      </w:pPr>
      <w:r>
        <w:rPr>
          <w:rFonts w:cs="Arial"/>
          <w:sz w:val="21"/>
          <w:szCs w:val="21"/>
        </w:rPr>
        <w:t xml:space="preserve">A abertura da presente licitação dar-se-á em sessão </w:t>
      </w:r>
      <w:r>
        <w:rPr>
          <w:rFonts w:cs="Arial"/>
          <w:color w:val="000000"/>
          <w:sz w:val="21"/>
          <w:szCs w:val="21"/>
        </w:rPr>
        <w:t>pública, por meio de sistema eletrônico, na data, horário e local indicados neste Edital.</w:t>
      </w:r>
    </w:p>
    <w:p>
      <w:pPr>
        <w:pStyle w:val="81"/>
        <w:numPr>
          <w:ilvl w:val="1"/>
          <w:numId w:val="9"/>
        </w:numPr>
        <w:spacing w:before="120" w:after="120"/>
        <w:ind w:left="426" w:firstLine="0"/>
        <w:jc w:val="both"/>
        <w:rPr>
          <w:rFonts w:cs="Arial"/>
          <w:color w:val="000000"/>
          <w:sz w:val="21"/>
          <w:szCs w:val="21"/>
        </w:rPr>
      </w:pPr>
      <w:r>
        <w:rPr>
          <w:rFonts w:cs="Arial"/>
          <w:sz w:val="21"/>
          <w:szCs w:val="2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81"/>
        <w:numPr>
          <w:ilvl w:val="2"/>
          <w:numId w:val="9"/>
        </w:numPr>
        <w:spacing w:before="120" w:after="120"/>
        <w:ind w:left="846" w:firstLine="0"/>
        <w:jc w:val="both"/>
        <w:rPr>
          <w:rFonts w:cs="Arial"/>
          <w:color w:val="000000"/>
          <w:sz w:val="21"/>
          <w:szCs w:val="21"/>
        </w:rPr>
      </w:pPr>
      <w:r>
        <w:rPr>
          <w:rFonts w:cs="Arial"/>
          <w:color w:val="000000"/>
          <w:sz w:val="21"/>
          <w:szCs w:val="21"/>
        </w:rPr>
        <w:t xml:space="preserve">Também será desclassificada a proposta que </w:t>
      </w:r>
      <w:r>
        <w:rPr>
          <w:rFonts w:cs="Arial"/>
          <w:b/>
          <w:bCs/>
          <w:color w:val="000000"/>
          <w:sz w:val="21"/>
          <w:szCs w:val="21"/>
        </w:rPr>
        <w:t>identifique o licitante.</w:t>
      </w:r>
    </w:p>
    <w:p>
      <w:pPr>
        <w:pStyle w:val="81"/>
        <w:numPr>
          <w:ilvl w:val="2"/>
          <w:numId w:val="9"/>
        </w:numPr>
        <w:spacing w:before="120" w:after="120"/>
        <w:ind w:left="846" w:firstLine="0"/>
        <w:jc w:val="both"/>
        <w:rPr>
          <w:rFonts w:cs="Arial"/>
          <w:color w:val="000000"/>
          <w:sz w:val="21"/>
          <w:szCs w:val="21"/>
        </w:rPr>
      </w:pPr>
      <w:r>
        <w:rPr>
          <w:rFonts w:cs="Arial"/>
          <w:color w:val="000000"/>
          <w:sz w:val="21"/>
          <w:szCs w:val="21"/>
        </w:rPr>
        <w:t>A desclassificação será sempre fundamentada e registrada no sistema, com acompanhamento em tempo real por todos os participantes.</w:t>
      </w:r>
    </w:p>
    <w:p>
      <w:pPr>
        <w:pStyle w:val="81"/>
        <w:numPr>
          <w:ilvl w:val="2"/>
          <w:numId w:val="9"/>
        </w:numPr>
        <w:spacing w:before="120" w:after="120"/>
        <w:ind w:left="846" w:firstLine="0"/>
        <w:jc w:val="both"/>
        <w:rPr>
          <w:rFonts w:cs="Arial"/>
          <w:color w:val="000000"/>
          <w:sz w:val="21"/>
          <w:szCs w:val="21"/>
        </w:rPr>
      </w:pPr>
      <w:r>
        <w:rPr>
          <w:rFonts w:cs="Arial"/>
          <w:color w:val="000000"/>
          <w:sz w:val="21"/>
          <w:szCs w:val="21"/>
        </w:rPr>
        <w:t>A não desclassificação da proposta não impede o seu julgamento definitivo em sentido contrário, levado a efeito na fase de aceitação.</w:t>
      </w:r>
    </w:p>
    <w:p>
      <w:pPr>
        <w:pStyle w:val="81"/>
        <w:numPr>
          <w:ilvl w:val="1"/>
          <w:numId w:val="9"/>
        </w:numPr>
        <w:spacing w:before="120" w:after="120"/>
        <w:ind w:left="426" w:firstLine="0"/>
        <w:jc w:val="both"/>
        <w:rPr>
          <w:rFonts w:cs="Arial"/>
          <w:sz w:val="21"/>
          <w:szCs w:val="21"/>
        </w:rPr>
      </w:pPr>
      <w:r>
        <w:rPr>
          <w:rFonts w:cs="Arial"/>
          <w:sz w:val="21"/>
          <w:szCs w:val="21"/>
        </w:rPr>
        <w:t>O sistema ordenará automaticamente as propostas classificadas, sendo que somente estas participarão da fase de lances.</w:t>
      </w:r>
    </w:p>
    <w:p>
      <w:pPr>
        <w:pStyle w:val="81"/>
        <w:numPr>
          <w:ilvl w:val="1"/>
          <w:numId w:val="9"/>
        </w:numPr>
        <w:spacing w:before="120" w:after="120"/>
        <w:ind w:left="426" w:firstLine="0"/>
        <w:jc w:val="both"/>
        <w:rPr>
          <w:rFonts w:cs="Arial"/>
          <w:sz w:val="21"/>
          <w:szCs w:val="21"/>
        </w:rPr>
      </w:pPr>
      <w:r>
        <w:rPr>
          <w:rFonts w:cs="Arial"/>
          <w:sz w:val="21"/>
          <w:szCs w:val="21"/>
        </w:rPr>
        <w:t xml:space="preserve"> O sistema disponibilizará campo próprio para troca de mensagens entre o Pregoeiro e os licitantes.</w:t>
      </w:r>
    </w:p>
    <w:p>
      <w:pPr>
        <w:pStyle w:val="81"/>
        <w:numPr>
          <w:ilvl w:val="1"/>
          <w:numId w:val="9"/>
        </w:numPr>
        <w:spacing w:before="120" w:after="120"/>
        <w:ind w:left="426" w:firstLine="0"/>
        <w:jc w:val="both"/>
        <w:rPr>
          <w:rFonts w:cs="Arial"/>
          <w:sz w:val="21"/>
          <w:szCs w:val="21"/>
        </w:rPr>
      </w:pPr>
      <w:r>
        <w:rPr>
          <w:rFonts w:cs="Arial"/>
          <w:sz w:val="21"/>
          <w:szCs w:val="21"/>
        </w:rPr>
        <w:t xml:space="preserve"> Iniciada a etapa competitiva, os licitantes deverão encaminhar lances exclusivamente por meio de sistema eletrônico, sendo imediatamente informados do seu recebimento e do valor consignado no registro. </w:t>
      </w:r>
    </w:p>
    <w:p>
      <w:pPr>
        <w:pStyle w:val="81"/>
        <w:numPr>
          <w:ilvl w:val="2"/>
          <w:numId w:val="9"/>
        </w:numPr>
        <w:spacing w:before="120" w:after="120"/>
        <w:ind w:left="846" w:firstLine="0"/>
        <w:jc w:val="both"/>
        <w:rPr>
          <w:rFonts w:cs="Arial"/>
          <w:color w:val="000000"/>
          <w:sz w:val="21"/>
          <w:szCs w:val="21"/>
        </w:rPr>
      </w:pPr>
      <w:r>
        <w:rPr>
          <w:rFonts w:cs="Arial"/>
          <w:color w:val="000000"/>
          <w:sz w:val="21"/>
          <w:szCs w:val="21"/>
        </w:rPr>
        <w:t>O lance deverá ser ofertado pelo valor unitário do item.</w:t>
      </w:r>
    </w:p>
    <w:p>
      <w:pPr>
        <w:pStyle w:val="81"/>
        <w:numPr>
          <w:ilvl w:val="1"/>
          <w:numId w:val="9"/>
        </w:numPr>
        <w:spacing w:before="120" w:after="120"/>
        <w:ind w:left="426" w:firstLine="0"/>
        <w:jc w:val="both"/>
        <w:rPr>
          <w:rFonts w:cs="Arial"/>
          <w:sz w:val="21"/>
          <w:szCs w:val="21"/>
        </w:rPr>
      </w:pPr>
      <w:r>
        <w:rPr>
          <w:rFonts w:cs="Arial"/>
          <w:sz w:val="21"/>
          <w:szCs w:val="21"/>
        </w:rPr>
        <w:t xml:space="preserve"> Os licitantes poderão oferecer lances sucessivos, observando o horário fixado para abertura da sessão e as regras estabelecidas no Edital.</w:t>
      </w:r>
    </w:p>
    <w:p>
      <w:pPr>
        <w:pStyle w:val="81"/>
        <w:numPr>
          <w:ilvl w:val="1"/>
          <w:numId w:val="9"/>
        </w:numPr>
        <w:spacing w:before="120" w:after="120"/>
        <w:ind w:left="426" w:firstLine="0"/>
        <w:jc w:val="both"/>
        <w:rPr>
          <w:rFonts w:cs="Arial"/>
          <w:sz w:val="21"/>
          <w:szCs w:val="21"/>
        </w:rPr>
      </w:pPr>
      <w:r>
        <w:rPr>
          <w:rFonts w:cs="Arial"/>
          <w:sz w:val="21"/>
          <w:szCs w:val="21"/>
        </w:rPr>
        <w:t xml:space="preserve">O licitante somente poderá oferecer lance de valor inferior ou percentual de desconto superior ao último por ele ofertado e registrado pelo sistema. </w:t>
      </w:r>
    </w:p>
    <w:p>
      <w:pPr>
        <w:pStyle w:val="81"/>
        <w:numPr>
          <w:ilvl w:val="1"/>
          <w:numId w:val="9"/>
        </w:numPr>
        <w:spacing w:before="120" w:after="120"/>
        <w:ind w:left="426" w:firstLine="0"/>
        <w:jc w:val="both"/>
        <w:rPr>
          <w:rFonts w:cs="Arial"/>
          <w:sz w:val="21"/>
          <w:szCs w:val="21"/>
        </w:rPr>
      </w:pPr>
      <w:r>
        <w:rPr>
          <w:rFonts w:cs="Arial"/>
          <w:sz w:val="21"/>
          <w:szCs w:val="21"/>
        </w:rPr>
        <w:t xml:space="preserve">O intervalo mínimo de diferença de valores ou percentuais entre os lances, que incidirá tanto em relação aos lances intermediários quanto em relação à proposta que cobrir a melhor oferta deverá ser de </w:t>
      </w:r>
      <w:r>
        <w:rPr>
          <w:rFonts w:cs="Arial"/>
          <w:b/>
          <w:bCs/>
          <w:i/>
          <w:iCs/>
          <w:sz w:val="21"/>
          <w:szCs w:val="21"/>
        </w:rPr>
        <w:t>R$ 0,01 (um centavo).</w:t>
      </w:r>
      <w:r>
        <w:rPr>
          <w:rFonts w:cs="Arial"/>
          <w:sz w:val="21"/>
          <w:szCs w:val="21"/>
        </w:rPr>
        <w:tab/>
      </w:r>
    </w:p>
    <w:p>
      <w:pPr>
        <w:pStyle w:val="81"/>
        <w:numPr>
          <w:ilvl w:val="1"/>
          <w:numId w:val="9"/>
        </w:numPr>
        <w:spacing w:before="120" w:after="120"/>
        <w:ind w:left="426" w:firstLine="0"/>
        <w:jc w:val="both"/>
        <w:rPr>
          <w:rFonts w:cs="Arial"/>
          <w:sz w:val="21"/>
          <w:szCs w:val="21"/>
        </w:rPr>
      </w:pPr>
      <w:r>
        <w:rPr>
          <w:rFonts w:cs="Arial"/>
          <w:sz w:val="21"/>
          <w:szCs w:val="21"/>
        </w:rPr>
        <w:t xml:space="preserve">Será adotado para o envio de lances no pregão eletrônico o modo de disputa </w:t>
      </w:r>
      <w:r>
        <w:rPr>
          <w:rFonts w:cs="Arial"/>
          <w:b/>
          <w:bCs/>
          <w:i/>
          <w:iCs/>
          <w:sz w:val="21"/>
          <w:szCs w:val="21"/>
        </w:rPr>
        <w:t>“aberto e fechado”</w:t>
      </w:r>
      <w:r>
        <w:rPr>
          <w:rFonts w:cs="Arial"/>
          <w:sz w:val="21"/>
          <w:szCs w:val="21"/>
        </w:rPr>
        <w:t>, em que os licitantes apresentarão lances públicos e sucessivos, com lance final e fechado.</w:t>
      </w:r>
    </w:p>
    <w:p>
      <w:pPr>
        <w:pStyle w:val="81"/>
        <w:numPr>
          <w:ilvl w:val="1"/>
          <w:numId w:val="9"/>
        </w:numPr>
        <w:spacing w:before="120" w:after="120"/>
        <w:ind w:left="426" w:firstLine="0"/>
        <w:jc w:val="both"/>
        <w:rPr>
          <w:rFonts w:cs="Arial"/>
          <w:sz w:val="21"/>
          <w:szCs w:val="21"/>
        </w:rPr>
      </w:pPr>
      <w:r>
        <w:rPr>
          <w:rFonts w:cs="Arial"/>
          <w:sz w:val="21"/>
          <w:szCs w:val="21"/>
        </w:rPr>
        <w:t xml:space="preserve">A etapa de lances da sessão pública terá duração inicial de quinze minutos. Após esse prazo, o sistema encaminhará aviso de fechamento iminente dos lances, após o que transcorrerá o período de tempo de até </w:t>
      </w:r>
      <w:r>
        <w:rPr>
          <w:rFonts w:cs="Arial"/>
          <w:b/>
          <w:bCs/>
          <w:i/>
          <w:iCs/>
          <w:sz w:val="21"/>
          <w:szCs w:val="21"/>
        </w:rPr>
        <w:t>10 (dez) minutos</w:t>
      </w:r>
      <w:r>
        <w:rPr>
          <w:rFonts w:cs="Arial"/>
          <w:sz w:val="21"/>
          <w:szCs w:val="21"/>
        </w:rPr>
        <w:t>, aleatoriamente determinado, findo o qual será automaticamente encerrada a recepção de lances.</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 xml:space="preserve">Encerrado o prazo previsto no item anterior, o sistema abrirá oportunidade para que o autor da oferta de valor mais baixo e os das ofertas com preços até </w:t>
      </w:r>
      <w:r>
        <w:rPr>
          <w:rFonts w:cs="Arial"/>
          <w:b/>
          <w:bCs/>
          <w:i/>
          <w:iCs/>
          <w:color w:val="00000A"/>
          <w:sz w:val="21"/>
          <w:szCs w:val="21"/>
        </w:rPr>
        <w:t>10% (dez por cento)</w:t>
      </w:r>
      <w:r>
        <w:rPr>
          <w:rFonts w:cs="Arial"/>
          <w:color w:val="00000A"/>
          <w:sz w:val="21"/>
          <w:szCs w:val="21"/>
        </w:rPr>
        <w:t xml:space="preserve"> superiores àquela possam ofertar um lance final e fechado em até cinco minutos, o que será sigiloso até o encerramento deste prazo.</w:t>
      </w:r>
    </w:p>
    <w:p>
      <w:pPr>
        <w:pStyle w:val="81"/>
        <w:numPr>
          <w:ilvl w:val="2"/>
          <w:numId w:val="9"/>
        </w:numPr>
        <w:spacing w:before="120" w:after="120"/>
        <w:ind w:left="846" w:firstLine="0"/>
        <w:jc w:val="both"/>
        <w:rPr>
          <w:rFonts w:cs="Arial"/>
          <w:color w:val="00000A"/>
          <w:sz w:val="21"/>
          <w:szCs w:val="21"/>
        </w:rPr>
      </w:pPr>
      <w:r>
        <w:rPr>
          <w:rFonts w:cs="Arial"/>
          <w:color w:val="00000A"/>
          <w:sz w:val="21"/>
          <w:szCs w:val="21"/>
        </w:rPr>
        <w:t>Não havendo, pelo menos,</w:t>
      </w:r>
      <w:r>
        <w:rPr>
          <w:rFonts w:cs="Arial"/>
          <w:b/>
          <w:bCs/>
          <w:i/>
          <w:iCs/>
          <w:color w:val="00000A"/>
          <w:sz w:val="21"/>
          <w:szCs w:val="21"/>
        </w:rPr>
        <w:t xml:space="preserve"> 3 (três)</w:t>
      </w:r>
      <w:r>
        <w:rPr>
          <w:rFonts w:cs="Arial"/>
          <w:color w:val="00000A"/>
          <w:sz w:val="21"/>
          <w:szCs w:val="21"/>
        </w:rPr>
        <w:t xml:space="preserve"> ofertas nas condições definidas neste item poderão os autores dos melhores lances subsequentes, na ordem de classificação, até o máximo de </w:t>
      </w:r>
      <w:r>
        <w:rPr>
          <w:rFonts w:cs="Arial"/>
          <w:b/>
          <w:bCs/>
          <w:i/>
          <w:iCs/>
          <w:color w:val="00000A"/>
          <w:sz w:val="21"/>
          <w:szCs w:val="21"/>
        </w:rPr>
        <w:t>3 (três)</w:t>
      </w:r>
      <w:r>
        <w:rPr>
          <w:rFonts w:cs="Arial"/>
          <w:color w:val="00000A"/>
          <w:sz w:val="21"/>
          <w:szCs w:val="21"/>
        </w:rPr>
        <w:t xml:space="preserve">, oferecer um lance final e fechado até </w:t>
      </w:r>
      <w:r>
        <w:rPr>
          <w:rFonts w:cs="Arial"/>
          <w:b/>
          <w:bCs/>
          <w:i/>
          <w:iCs/>
          <w:color w:val="00000A"/>
          <w:sz w:val="21"/>
          <w:szCs w:val="21"/>
        </w:rPr>
        <w:t>5 (cinco) minutos</w:t>
      </w:r>
      <w:r>
        <w:rPr>
          <w:rFonts w:cs="Arial"/>
          <w:color w:val="00000A"/>
          <w:sz w:val="21"/>
          <w:szCs w:val="21"/>
        </w:rPr>
        <w:t>, o qual será sigiloso até o encerramento deste prazo.</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Após o término dos prazos estabelecidos nos itens anteriores, o sistema ordenará os lances segundo a ordem crescente de valores.</w:t>
      </w:r>
    </w:p>
    <w:p>
      <w:pPr>
        <w:pStyle w:val="81"/>
        <w:numPr>
          <w:ilvl w:val="2"/>
          <w:numId w:val="9"/>
        </w:numPr>
        <w:spacing w:before="120" w:after="120"/>
        <w:ind w:left="846" w:firstLine="0"/>
        <w:jc w:val="both"/>
        <w:rPr>
          <w:rFonts w:cs="Arial"/>
          <w:color w:val="00000A"/>
          <w:sz w:val="21"/>
          <w:szCs w:val="21"/>
        </w:rPr>
      </w:pPr>
      <w:r>
        <w:rPr>
          <w:rFonts w:cs="Arial"/>
          <w:color w:val="00000A"/>
          <w:sz w:val="21"/>
          <w:szCs w:val="21"/>
        </w:rPr>
        <w:t xml:space="preserve">Não havendo lance final fechado e classificado na forma estabelecida nos itens anteriores, haverá o reinício da etapa fechada para que os demais licitantes, até no máximo de </w:t>
      </w:r>
      <w:r>
        <w:rPr>
          <w:rFonts w:cs="Arial"/>
          <w:b/>
          <w:bCs/>
          <w:i/>
          <w:iCs/>
          <w:color w:val="00000A"/>
          <w:sz w:val="21"/>
          <w:szCs w:val="21"/>
        </w:rPr>
        <w:t>3 (três)</w:t>
      </w:r>
      <w:r>
        <w:rPr>
          <w:rFonts w:cs="Arial"/>
          <w:color w:val="00000A"/>
          <w:sz w:val="21"/>
          <w:szCs w:val="21"/>
        </w:rPr>
        <w:t xml:space="preserve">, na ordem de classificação, possam ofertar um lance final e fechado em até </w:t>
      </w:r>
      <w:r>
        <w:rPr>
          <w:rFonts w:cs="Arial"/>
          <w:b/>
          <w:bCs/>
          <w:i/>
          <w:iCs/>
          <w:color w:val="00000A"/>
          <w:sz w:val="21"/>
          <w:szCs w:val="21"/>
        </w:rPr>
        <w:t>5 (cinco) minutos</w:t>
      </w:r>
      <w:r>
        <w:rPr>
          <w:rFonts w:cs="Arial"/>
          <w:color w:val="00000A"/>
          <w:sz w:val="21"/>
          <w:szCs w:val="21"/>
        </w:rPr>
        <w:t>, o qual será sigiloso até o encerramento deste prazo, observando-se, após, o item anterior.</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Poderá o pregoeiro, auxiliado pela equipe de apoio, justificadamente, admitir o reinício da etapa fechada, caso nenhum licitante classificado na etapa de lance fechado atender as exigências de habilitação</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 xml:space="preserve">Não serão aceitos dois ou mais lances de mesmo valor, prevalecendo aquele que for recebido e registrado em primeiro lugar. </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 xml:space="preserve">Durante o transcurso da sessão pública, os licitantes serão informados, em tempo real, do valor do menor lance registrado, vedada a identificação do licitante. </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 xml:space="preserve">No caso de desconexão com o Pregoeiro, no decorrer da etapa competitiva do Pregão, o sistema eletrônico poderá permanecer acessível aos licitantes para a recepção dos lances. </w:t>
      </w:r>
    </w:p>
    <w:p>
      <w:pPr>
        <w:pStyle w:val="81"/>
        <w:numPr>
          <w:ilvl w:val="1"/>
          <w:numId w:val="9"/>
        </w:numPr>
        <w:spacing w:before="120" w:after="120"/>
        <w:ind w:left="426" w:firstLine="0"/>
        <w:jc w:val="both"/>
        <w:rPr>
          <w:rFonts w:cs="Arial"/>
          <w:color w:val="00000A"/>
          <w:sz w:val="21"/>
          <w:szCs w:val="21"/>
        </w:rPr>
      </w:pPr>
      <w:r>
        <w:rPr>
          <w:rFonts w:cs="Arial"/>
          <w:color w:val="00000A"/>
          <w:sz w:val="21"/>
          <w:szCs w:val="21"/>
        </w:rPr>
        <w:t xml:space="preserve">Quando a desconexão do sistema eletrônico para o pregoeiro persistir por tempos superior a </w:t>
      </w:r>
      <w:r>
        <w:rPr>
          <w:rFonts w:cs="Arial"/>
          <w:b/>
          <w:bCs/>
          <w:i/>
          <w:iCs/>
          <w:color w:val="00000A"/>
          <w:sz w:val="21"/>
          <w:szCs w:val="21"/>
        </w:rPr>
        <w:t>10 (dez) minutos</w:t>
      </w:r>
      <w:r>
        <w:rPr>
          <w:rFonts w:cs="Arial"/>
          <w:color w:val="00000A"/>
          <w:sz w:val="21"/>
          <w:szCs w:val="21"/>
        </w:rPr>
        <w:t>, a sessão pública será suspensa e reiniciada somente após decorridas vinte e quatro horas após a comunicação do fato aos participantes no sítio eletrônico utilizado para divulgação.</w:t>
      </w:r>
    </w:p>
    <w:p>
      <w:pPr>
        <w:numPr>
          <w:ilvl w:val="1"/>
          <w:numId w:val="10"/>
        </w:numPr>
        <w:spacing w:before="120" w:after="120"/>
        <w:ind w:left="425" w:firstLine="0"/>
        <w:jc w:val="both"/>
        <w:rPr>
          <w:rFonts w:cs="Arial"/>
          <w:color w:val="000000"/>
          <w:sz w:val="21"/>
          <w:szCs w:val="21"/>
        </w:rPr>
      </w:pPr>
      <w:r>
        <w:rPr>
          <w:rFonts w:cs="Arial"/>
          <w:color w:val="000000"/>
          <w:sz w:val="21"/>
          <w:szCs w:val="21"/>
        </w:rPr>
        <w:t>O Critério de julgamento adotado será o menor preço, conforme definido neste Edital e seus anexos.</w:t>
      </w:r>
    </w:p>
    <w:p>
      <w:pPr>
        <w:numPr>
          <w:ilvl w:val="1"/>
          <w:numId w:val="10"/>
        </w:numPr>
        <w:spacing w:before="120" w:after="120"/>
        <w:ind w:left="425" w:firstLine="0"/>
        <w:jc w:val="both"/>
        <w:rPr>
          <w:rFonts w:cs="Arial"/>
          <w:color w:val="000000"/>
          <w:sz w:val="21"/>
          <w:szCs w:val="21"/>
        </w:rPr>
      </w:pPr>
      <w:r>
        <w:rPr>
          <w:rFonts w:cs="Arial"/>
          <w:color w:val="000000"/>
          <w:sz w:val="21"/>
          <w:szCs w:val="21"/>
        </w:rPr>
        <w:t>Caso o licitante não apresente lances, concorrerá com o valor de sua proposta.</w:t>
      </w:r>
    </w:p>
    <w:p>
      <w:pPr>
        <w:numPr>
          <w:ilvl w:val="1"/>
          <w:numId w:val="10"/>
        </w:numPr>
        <w:spacing w:before="120" w:after="120"/>
        <w:ind w:left="425" w:firstLine="0"/>
        <w:jc w:val="both"/>
        <w:rPr>
          <w:rFonts w:cs="Arial"/>
          <w:color w:val="000000"/>
          <w:sz w:val="21"/>
          <w:szCs w:val="21"/>
        </w:rPr>
      </w:pPr>
      <w:r>
        <w:rPr>
          <w:rFonts w:cs="Arial"/>
          <w:color w:val="000000"/>
          <w:sz w:val="21"/>
          <w:szCs w:val="21"/>
        </w:rPr>
        <w:t>Em relação a itens não exclusivos para participação de microempresas e empresas de pequeno porte, uma vez encerrada a etapa de lances</w:t>
      </w:r>
      <w:r>
        <w:rPr>
          <w:rFonts w:eastAsia="Zurich BT" w:cs="Arial"/>
          <w:sz w:val="21"/>
          <w:szCs w:val="21"/>
        </w:rPr>
        <w:t xml:space="preserve">, será efetivada a verificação automática, junto à Receita Federal, do porte da entidade empresarial. O sistema identificará em coluna própria as </w:t>
      </w:r>
      <w:r>
        <w:rPr>
          <w:rFonts w:eastAsia="Zurich BT" w:cs="Arial"/>
          <w:color w:val="000000"/>
          <w:sz w:val="21"/>
          <w:szCs w:val="21"/>
        </w:rPr>
        <w:t>microempresas e empresas de pequeno</w:t>
      </w:r>
      <w:r>
        <w:rPr>
          <w:rFonts w:eastAsia="Zurich BT" w:cs="Arial"/>
          <w:sz w:val="21"/>
          <w:szCs w:val="21"/>
        </w:rPr>
        <w:t xml:space="preserve"> porte participantes, procedendo à comparação com os valores da primeira colocada, se esta for empresa de maior porte, assim como das demais classificadas, para o fim de aplicar-se o disposto nos arts. 44 e 45 da LC n.° 123, de 2006, regulamentada pelo Decreto n.° 8.538, de 2015.</w:t>
      </w:r>
    </w:p>
    <w:p>
      <w:pPr>
        <w:numPr>
          <w:ilvl w:val="1"/>
          <w:numId w:val="10"/>
        </w:numPr>
        <w:spacing w:before="120" w:after="120"/>
        <w:ind w:left="425" w:firstLine="0"/>
        <w:jc w:val="both"/>
        <w:rPr>
          <w:rFonts w:cs="Arial"/>
          <w:color w:val="000000"/>
          <w:sz w:val="21"/>
          <w:szCs w:val="21"/>
        </w:rPr>
      </w:pPr>
      <w:r>
        <w:rPr>
          <w:rFonts w:cs="Arial"/>
          <w:color w:val="000000"/>
          <w:sz w:val="21"/>
          <w:szCs w:val="21"/>
        </w:rPr>
        <w:t xml:space="preserve">Nessas condições, as propostas de </w:t>
      </w:r>
      <w:r>
        <w:rPr>
          <w:rFonts w:eastAsia="Zurich BT" w:cs="Arial"/>
          <w:color w:val="000000"/>
          <w:sz w:val="21"/>
          <w:szCs w:val="21"/>
        </w:rPr>
        <w:t xml:space="preserve">microempresas e empresas de pequeno porte </w:t>
      </w:r>
      <w:r>
        <w:rPr>
          <w:rFonts w:cs="Arial"/>
          <w:color w:val="000000"/>
          <w:sz w:val="21"/>
          <w:szCs w:val="21"/>
        </w:rPr>
        <w:t>que se encontrarem na faixa de até</w:t>
      </w:r>
      <w:r>
        <w:rPr>
          <w:rFonts w:cs="Arial"/>
          <w:b/>
          <w:bCs/>
          <w:i/>
          <w:iCs/>
          <w:color w:val="000000"/>
          <w:sz w:val="21"/>
          <w:szCs w:val="21"/>
        </w:rPr>
        <w:t xml:space="preserve"> 5% (cinco por cento) </w:t>
      </w:r>
      <w:r>
        <w:rPr>
          <w:rFonts w:cs="Arial"/>
          <w:color w:val="000000"/>
          <w:sz w:val="21"/>
          <w:szCs w:val="21"/>
        </w:rPr>
        <w:t>acima da melhor proposta ou melhor lance serão consideradas empatadas com a primeira colocada.</w:t>
      </w:r>
    </w:p>
    <w:p>
      <w:pPr>
        <w:numPr>
          <w:ilvl w:val="1"/>
          <w:numId w:val="10"/>
        </w:numPr>
        <w:spacing w:before="120" w:after="120"/>
        <w:ind w:left="425" w:firstLine="0"/>
        <w:jc w:val="both"/>
        <w:rPr>
          <w:rFonts w:cs="Arial"/>
          <w:color w:val="000000"/>
          <w:sz w:val="21"/>
          <w:szCs w:val="21"/>
        </w:rPr>
      </w:pPr>
      <w:r>
        <w:rPr>
          <w:rFonts w:cs="Arial"/>
          <w:color w:val="000000"/>
          <w:sz w:val="21"/>
          <w:szCs w:val="21"/>
        </w:rPr>
        <w:t xml:space="preserve">A melhor classificada nos termos do item anterior terá o direito de encaminhar uma última oferta para desempate, obrigatoriamente em valor inferior ao da primeira colocada, no prazo de </w:t>
      </w:r>
      <w:r>
        <w:rPr>
          <w:rFonts w:cs="Arial"/>
          <w:b/>
          <w:bCs/>
          <w:i/>
          <w:iCs/>
          <w:color w:val="000000"/>
          <w:sz w:val="21"/>
          <w:szCs w:val="21"/>
        </w:rPr>
        <w:t xml:space="preserve">5 (cinco) minutos </w:t>
      </w:r>
      <w:r>
        <w:rPr>
          <w:rFonts w:cs="Arial"/>
          <w:color w:val="000000"/>
          <w:sz w:val="21"/>
          <w:szCs w:val="21"/>
        </w:rPr>
        <w:t>controlados pelo sistema, contados após a comunicação automática para tanto.</w:t>
      </w:r>
    </w:p>
    <w:p>
      <w:pPr>
        <w:numPr>
          <w:ilvl w:val="1"/>
          <w:numId w:val="10"/>
        </w:numPr>
        <w:spacing w:before="120" w:after="120"/>
        <w:ind w:left="425" w:firstLine="0"/>
        <w:jc w:val="both"/>
        <w:rPr>
          <w:rFonts w:cs="Arial"/>
          <w:color w:val="000000"/>
          <w:sz w:val="21"/>
          <w:szCs w:val="21"/>
        </w:rPr>
      </w:pPr>
      <w:r>
        <w:rPr>
          <w:rFonts w:cs="Arial"/>
          <w:color w:val="000000"/>
          <w:sz w:val="21"/>
          <w:szCs w:val="21"/>
        </w:rPr>
        <w:t xml:space="preserve">Caso a </w:t>
      </w:r>
      <w:r>
        <w:rPr>
          <w:rFonts w:eastAsia="Zurich BT" w:cs="Arial"/>
          <w:color w:val="000000"/>
          <w:sz w:val="21"/>
          <w:szCs w:val="21"/>
        </w:rPr>
        <w:t>microempresa ou a empresa de pequeno porte</w:t>
      </w:r>
      <w:r>
        <w:rPr>
          <w:rFonts w:cs="Arial"/>
          <w:color w:val="000000"/>
          <w:sz w:val="21"/>
          <w:szCs w:val="21"/>
        </w:rPr>
        <w:t xml:space="preserve"> melhor classificada desista ou não se manifeste no prazo estabelecido, serão convocadas as demais licitantes </w:t>
      </w:r>
      <w:r>
        <w:rPr>
          <w:rFonts w:eastAsia="Zurich BT" w:cs="Arial"/>
          <w:color w:val="000000"/>
          <w:sz w:val="21"/>
          <w:szCs w:val="21"/>
        </w:rPr>
        <w:t>microempresa e empresa de pequeno porte</w:t>
      </w:r>
      <w:r>
        <w:rPr>
          <w:rFonts w:cs="Arial"/>
          <w:color w:val="000000"/>
          <w:sz w:val="21"/>
          <w:szCs w:val="21"/>
        </w:rPr>
        <w:t xml:space="preserve"> que se encontrem naquele intervalo de 5% (cinco por cento), na ordem de classificação, para o exercício do mesmo direito, no prazo estabelecido no subitem anterior.</w:t>
      </w:r>
    </w:p>
    <w:p>
      <w:pPr>
        <w:numPr>
          <w:ilvl w:val="1"/>
          <w:numId w:val="10"/>
        </w:numPr>
        <w:spacing w:before="120" w:after="120"/>
        <w:ind w:left="425" w:firstLine="0"/>
        <w:jc w:val="both"/>
        <w:rPr>
          <w:rFonts w:eastAsia="Arial" w:cs="Arial"/>
          <w:sz w:val="21"/>
          <w:szCs w:val="21"/>
        </w:rPr>
      </w:pPr>
      <w:r>
        <w:rPr>
          <w:rFonts w:cs="Arial"/>
          <w:color w:val="000000"/>
          <w:sz w:val="21"/>
          <w:szCs w:val="2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10"/>
        </w:numPr>
        <w:spacing w:before="120" w:after="120"/>
        <w:ind w:left="425" w:firstLine="0"/>
        <w:jc w:val="both"/>
        <w:rPr>
          <w:rFonts w:cs="Arial"/>
          <w:color w:val="000000"/>
          <w:sz w:val="21"/>
          <w:szCs w:val="21"/>
          <w:lang w:eastAsia="en-US"/>
        </w:rPr>
      </w:pPr>
      <w:r>
        <w:rPr>
          <w:rFonts w:cs="Arial"/>
          <w:color w:val="000000"/>
          <w:sz w:val="21"/>
          <w:szCs w:val="21"/>
        </w:rPr>
        <w:t xml:space="preserve">Só poderá haver empate entre propostas iguais (não seguidas de lances), ou entre lances finais da fase fechada do modo de disputa aberto e fechado. </w:t>
      </w:r>
    </w:p>
    <w:p>
      <w:pPr>
        <w:numPr>
          <w:ilvl w:val="1"/>
          <w:numId w:val="10"/>
        </w:numPr>
        <w:spacing w:before="120" w:after="120"/>
        <w:ind w:left="425" w:firstLine="0"/>
        <w:jc w:val="both"/>
        <w:rPr>
          <w:rFonts w:cs="Arial"/>
          <w:color w:val="000000"/>
          <w:sz w:val="21"/>
          <w:szCs w:val="21"/>
        </w:rPr>
      </w:pPr>
      <w:r>
        <w:rPr>
          <w:rFonts w:cs="Arial"/>
          <w:color w:val="000000"/>
          <w:sz w:val="21"/>
          <w:szCs w:val="21"/>
        </w:rPr>
        <w:t>Havendo eventual empate entre propostas ou lances</w:t>
      </w:r>
      <w:r>
        <w:rPr>
          <w:rFonts w:cs="Arial"/>
          <w:color w:val="000000"/>
          <w:sz w:val="21"/>
          <w:szCs w:val="21"/>
          <w:lang w:eastAsia="en-US"/>
        </w:rPr>
        <w:t>, o critério de desempate será aquele previsto no art. 3º, § 2º, da Lei n.° 8.666, de 1993, assegurando-se a preferência, sucessivamente, aos bens produzidos:</w:t>
      </w:r>
    </w:p>
    <w:p>
      <w:pPr>
        <w:numPr>
          <w:ilvl w:val="2"/>
          <w:numId w:val="10"/>
        </w:numPr>
        <w:spacing w:before="120" w:after="120"/>
        <w:ind w:left="845" w:firstLine="0"/>
        <w:jc w:val="both"/>
        <w:rPr>
          <w:rFonts w:cs="Arial"/>
          <w:color w:val="000000"/>
          <w:sz w:val="21"/>
          <w:szCs w:val="21"/>
        </w:rPr>
      </w:pPr>
      <w:r>
        <w:rPr>
          <w:rFonts w:cs="Arial"/>
          <w:color w:val="000000"/>
          <w:sz w:val="21"/>
          <w:szCs w:val="21"/>
        </w:rPr>
        <w:t xml:space="preserve">prestados por empresas brasileiras; </w:t>
      </w:r>
    </w:p>
    <w:p>
      <w:pPr>
        <w:numPr>
          <w:ilvl w:val="2"/>
          <w:numId w:val="10"/>
        </w:numPr>
        <w:spacing w:before="120" w:after="120"/>
        <w:ind w:left="845" w:firstLine="0"/>
        <w:jc w:val="both"/>
        <w:rPr>
          <w:rFonts w:cs="Arial"/>
          <w:color w:val="000000"/>
          <w:sz w:val="21"/>
          <w:szCs w:val="21"/>
        </w:rPr>
      </w:pPr>
      <w:r>
        <w:rPr>
          <w:rFonts w:cs="Arial"/>
          <w:color w:val="000000"/>
          <w:sz w:val="21"/>
          <w:szCs w:val="21"/>
        </w:rPr>
        <w:t>prestados por empresas que invistam em pesquisa e no desenvolvimento de tecnologia no País;</w:t>
      </w:r>
    </w:p>
    <w:p>
      <w:pPr>
        <w:numPr>
          <w:ilvl w:val="2"/>
          <w:numId w:val="10"/>
        </w:numPr>
        <w:spacing w:before="120" w:after="120"/>
        <w:ind w:left="845" w:firstLine="0"/>
        <w:jc w:val="both"/>
        <w:rPr>
          <w:rFonts w:cs="Arial"/>
          <w:color w:val="000000"/>
          <w:sz w:val="21"/>
          <w:szCs w:val="21"/>
        </w:rPr>
      </w:pPr>
      <w:r>
        <w:rPr>
          <w:rFonts w:cs="Arial"/>
          <w:color w:val="000000"/>
          <w:sz w:val="21"/>
          <w:szCs w:val="21"/>
        </w:rPr>
        <w:t>prestados por empresas que comprovem cumprimento de reserva de cargos prevista em lei para pessoa com deficiência ou para reabilitado da Previdência Social e que atendam às regras de acessibilidade previstas na legislação.</w:t>
      </w:r>
    </w:p>
    <w:p>
      <w:pPr>
        <w:numPr>
          <w:ilvl w:val="1"/>
          <w:numId w:val="10"/>
        </w:numPr>
        <w:spacing w:before="120" w:after="120"/>
        <w:ind w:left="425" w:firstLine="0"/>
        <w:jc w:val="both"/>
        <w:rPr>
          <w:rFonts w:cs="Arial"/>
          <w:color w:val="000000"/>
          <w:sz w:val="21"/>
          <w:szCs w:val="21"/>
          <w:lang w:eastAsia="en-US"/>
        </w:rPr>
      </w:pPr>
      <w:r>
        <w:rPr>
          <w:rFonts w:cs="Arial"/>
          <w:color w:val="000000"/>
          <w:sz w:val="21"/>
          <w:szCs w:val="21"/>
        </w:rPr>
        <w:t>Persistindo o empate, a proposta vencedora será sorteada pelo sistema eletrônico dentre as propostas ou os lances empatados.</w:t>
      </w:r>
      <w:r>
        <w:rPr>
          <w:rFonts w:cs="Arial"/>
          <w:color w:val="000000"/>
          <w:sz w:val="21"/>
          <w:szCs w:val="21"/>
          <w:lang w:eastAsia="en-US"/>
        </w:rPr>
        <w:t xml:space="preserve"> </w:t>
      </w:r>
    </w:p>
    <w:p>
      <w:pPr>
        <w:numPr>
          <w:ilvl w:val="1"/>
          <w:numId w:val="10"/>
        </w:numPr>
        <w:spacing w:before="120" w:after="120"/>
        <w:ind w:left="425" w:firstLine="0"/>
        <w:jc w:val="both"/>
        <w:rPr>
          <w:rFonts w:cs="Arial"/>
          <w:sz w:val="21"/>
          <w:szCs w:val="21"/>
        </w:rPr>
      </w:pPr>
      <w:r>
        <w:rPr>
          <w:rFonts w:cs="Arial"/>
          <w:color w:val="000000"/>
          <w:sz w:val="21"/>
          <w:szCs w:val="21"/>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 deste Edital.</w:t>
      </w:r>
    </w:p>
    <w:p>
      <w:pPr>
        <w:numPr>
          <w:ilvl w:val="2"/>
          <w:numId w:val="10"/>
        </w:numPr>
        <w:spacing w:before="120" w:after="120"/>
        <w:ind w:left="845" w:firstLine="0"/>
        <w:jc w:val="both"/>
        <w:rPr>
          <w:rFonts w:eastAsia="Arial" w:cs="Arial"/>
          <w:sz w:val="21"/>
          <w:szCs w:val="21"/>
        </w:rPr>
      </w:pPr>
      <w:r>
        <w:rPr>
          <w:rFonts w:cs="Arial"/>
          <w:sz w:val="21"/>
          <w:szCs w:val="21"/>
        </w:rPr>
        <w:t xml:space="preserve">A </w:t>
      </w:r>
      <w:r>
        <w:rPr>
          <w:rFonts w:eastAsia="Arial" w:cs="Arial"/>
          <w:sz w:val="21"/>
          <w:szCs w:val="21"/>
        </w:rPr>
        <w:t>negociação será realizada por meio do sistema, podendo ser acompanhada pelos demais licitantes.</w:t>
      </w:r>
    </w:p>
    <w:p>
      <w:pPr>
        <w:numPr>
          <w:ilvl w:val="2"/>
          <w:numId w:val="10"/>
        </w:numPr>
        <w:spacing w:before="120" w:after="120"/>
        <w:ind w:left="845" w:firstLine="0"/>
        <w:jc w:val="both"/>
        <w:rPr>
          <w:rFonts w:cs="Arial"/>
          <w:sz w:val="21"/>
          <w:szCs w:val="21"/>
        </w:rPr>
      </w:pPr>
      <w:r>
        <w:rPr>
          <w:rFonts w:cs="Arial"/>
          <w:sz w:val="21"/>
          <w:szCs w:val="21"/>
        </w:rPr>
        <w:t xml:space="preserve">O pregoeiro solicitará ao licitante melhor classificado que, no prazo de </w:t>
      </w:r>
      <w:r>
        <w:rPr>
          <w:rFonts w:cs="Arial"/>
          <w:b/>
          <w:bCs/>
          <w:i/>
          <w:iCs/>
          <w:sz w:val="21"/>
          <w:szCs w:val="21"/>
        </w:rPr>
        <w:t>2 (duas) horas</w:t>
      </w:r>
      <w:r>
        <w:rPr>
          <w:rFonts w:cs="Arial"/>
          <w:sz w:val="21"/>
          <w:szCs w:val="21"/>
        </w:rPr>
        <w:t xml:space="preserve">, envie a proposta adequada ao último lance ofertado após a negociação realizada, acompanhada, se for o caso, dos documentos complementares, quando necessários à confirmação daqueles exigidos neste Edital e já apresentados. </w:t>
      </w:r>
    </w:p>
    <w:p>
      <w:pPr>
        <w:numPr>
          <w:ilvl w:val="1"/>
          <w:numId w:val="10"/>
        </w:numPr>
        <w:spacing w:before="120" w:after="120"/>
        <w:ind w:left="425" w:firstLine="0"/>
        <w:jc w:val="both"/>
        <w:rPr>
          <w:rFonts w:cs="Arial"/>
          <w:color w:val="000000"/>
          <w:sz w:val="21"/>
          <w:szCs w:val="21"/>
        </w:rPr>
      </w:pPr>
      <w:r>
        <w:rPr>
          <w:rFonts w:cs="Arial"/>
          <w:color w:val="000000"/>
          <w:sz w:val="21"/>
          <w:szCs w:val="21"/>
        </w:rPr>
        <w:t>Após a negociação do preço, o Pregoeiro iniciará a fase de aceitação e julgamento da proposta.</w:t>
      </w:r>
    </w:p>
    <w:p>
      <w:pPr>
        <w:numPr>
          <w:ilvl w:val="1"/>
          <w:numId w:val="10"/>
        </w:numPr>
        <w:spacing w:before="120" w:after="120"/>
        <w:ind w:left="425" w:firstLine="0"/>
        <w:jc w:val="both"/>
        <w:rPr>
          <w:rFonts w:cs="Arial"/>
          <w:color w:val="000000"/>
          <w:sz w:val="21"/>
          <w:szCs w:val="21"/>
        </w:rPr>
      </w:pPr>
      <w:r>
        <w:rPr>
          <w:rFonts w:cs="Arial"/>
          <w:color w:val="000000"/>
          <w:sz w:val="21"/>
          <w:szCs w:val="21"/>
        </w:rPr>
        <w:t>Será assegurado o direito de preferência previsto no seu artigo 3º, conforme procedimento estabelecido nos artigos 5° e 8° do Decreto n° 7.174, de 2010.</w:t>
      </w:r>
    </w:p>
    <w:p>
      <w:pPr>
        <w:numPr>
          <w:ilvl w:val="2"/>
          <w:numId w:val="10"/>
        </w:numPr>
        <w:spacing w:before="120" w:after="120"/>
        <w:ind w:left="845" w:firstLine="0"/>
        <w:jc w:val="both"/>
        <w:rPr>
          <w:rFonts w:cs="Arial"/>
          <w:sz w:val="21"/>
          <w:szCs w:val="21"/>
        </w:rPr>
      </w:pPr>
      <w:r>
        <w:rPr>
          <w:rFonts w:cs="Arial"/>
          <w:sz w:val="21"/>
          <w:szCs w:val="21"/>
        </w:rPr>
        <w:t>As licitantes qualificadas como microempresas ou empresas de pequeno porte que fizerem jus ao direito de preferência previsto no Decreto n.° 7.174, de 2010, terão prioridade no exercício desse benefício em relação às médias e às grandes empresas na mesma situação.</w:t>
      </w:r>
    </w:p>
    <w:p>
      <w:pPr>
        <w:spacing w:before="120" w:after="120"/>
        <w:ind w:left="845"/>
        <w:jc w:val="both"/>
        <w:rPr>
          <w:rFonts w:cs="Arial"/>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ACEITABILIDADE DA PROPOSTA VENCEDORA.</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Encerrada a etapa de negociação, o pregoeiro examinará a proposta classificada em primeiro lugar quanto à adequação ao objeto e à compatibilidade de preço em relação ao máximo estipulado para contratação neste Edital e em seus anexos, observado o disposto no parágrafo único do art. 7º e no §9º do art. 26 do Decreto n.° 10.024/2019.</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A análise da exequibilidade da proposta de preços deverá ser realizada com o auxílio da Planilha de Custos e Formação de Preços, a ser preenchida pelo licitante em relação à sua proposta final, conforme anexo deste Edital.</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 xml:space="preserve">A Planilha de Custos e Formação de Preços deverá ser encaminhada pelo licitante exclusivamente via sistema, no prazo de </w:t>
      </w:r>
      <w:r>
        <w:rPr>
          <w:rFonts w:cs="Arial"/>
          <w:b/>
          <w:bCs/>
          <w:i/>
          <w:iCs/>
          <w:color w:val="000000"/>
          <w:sz w:val="21"/>
          <w:szCs w:val="21"/>
        </w:rPr>
        <w:t>2 (duas) horas</w:t>
      </w:r>
      <w:r>
        <w:rPr>
          <w:rFonts w:cs="Arial"/>
          <w:color w:val="000000"/>
          <w:sz w:val="21"/>
          <w:szCs w:val="21"/>
        </w:rPr>
        <w:t>, contado da solicitação do Pregoeiro, com os respectivos valores adequados ao lance vencedor e será analisada pelo Pregoeiro no momento da aceitação do lance vencedor.</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 xml:space="preserve">A inexequibilidade dos valores referentes a itens isolados da Planilha de Custos e Formação de Preços não caracteriza motivo suficiente para a desclassificação da proposta, desde que não contrariem exigências legais. </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 xml:space="preserve">Será desclassificada a proposta ou o lance vencedor, nos termos do item 9.1 do Anexo VII-A da In SEGES/MPDG n. 5/2017, que: </w:t>
      </w:r>
    </w:p>
    <w:p>
      <w:pPr>
        <w:numPr>
          <w:ilvl w:val="2"/>
          <w:numId w:val="11"/>
        </w:numPr>
        <w:tabs>
          <w:tab w:val="left" w:pos="420"/>
        </w:tabs>
        <w:spacing w:before="120" w:after="120"/>
        <w:ind w:left="838" w:firstLine="0"/>
        <w:jc w:val="both"/>
        <w:rPr>
          <w:rFonts w:cs="Arial"/>
          <w:color w:val="000000"/>
          <w:sz w:val="21"/>
          <w:szCs w:val="21"/>
        </w:rPr>
      </w:pPr>
      <w:r>
        <w:rPr>
          <w:rFonts w:cs="Arial"/>
          <w:color w:val="000000"/>
          <w:sz w:val="21"/>
          <w:szCs w:val="21"/>
        </w:rPr>
        <w:t>não estiver em conformidade com os requisitos estabelecidos neste edital;</w:t>
      </w:r>
    </w:p>
    <w:p>
      <w:pPr>
        <w:numPr>
          <w:ilvl w:val="2"/>
          <w:numId w:val="11"/>
        </w:numPr>
        <w:tabs>
          <w:tab w:val="left" w:pos="420"/>
        </w:tabs>
        <w:spacing w:before="120" w:after="120"/>
        <w:ind w:left="838" w:firstLine="0"/>
        <w:jc w:val="both"/>
        <w:rPr>
          <w:rFonts w:cs="Arial"/>
          <w:color w:val="000000"/>
          <w:sz w:val="21"/>
          <w:szCs w:val="21"/>
        </w:rPr>
      </w:pPr>
      <w:r>
        <w:rPr>
          <w:rFonts w:cs="Arial"/>
          <w:color w:val="000000"/>
          <w:sz w:val="21"/>
          <w:szCs w:val="21"/>
        </w:rPr>
        <w:t>contenha vício insanável ou ilegalidade;</w:t>
      </w:r>
    </w:p>
    <w:p>
      <w:pPr>
        <w:numPr>
          <w:ilvl w:val="2"/>
          <w:numId w:val="11"/>
        </w:numPr>
        <w:tabs>
          <w:tab w:val="left" w:pos="420"/>
        </w:tabs>
        <w:spacing w:before="120" w:after="120"/>
        <w:ind w:left="838" w:firstLine="0"/>
        <w:jc w:val="both"/>
        <w:rPr>
          <w:rFonts w:cs="Arial"/>
          <w:sz w:val="21"/>
          <w:szCs w:val="21"/>
        </w:rPr>
      </w:pPr>
      <w:r>
        <w:rPr>
          <w:rFonts w:cs="Arial"/>
          <w:color w:val="000000"/>
          <w:sz w:val="21"/>
          <w:szCs w:val="21"/>
        </w:rPr>
        <w:t>não apresente as especificações técnicas exigidas pelo Termo de Referência;</w:t>
      </w:r>
    </w:p>
    <w:p>
      <w:pPr>
        <w:numPr>
          <w:ilvl w:val="2"/>
          <w:numId w:val="11"/>
        </w:numPr>
        <w:tabs>
          <w:tab w:val="left" w:pos="420"/>
        </w:tabs>
        <w:spacing w:before="120" w:after="120"/>
        <w:ind w:left="838" w:firstLine="0"/>
        <w:jc w:val="both"/>
        <w:rPr>
          <w:rFonts w:cs="Arial"/>
          <w:sz w:val="21"/>
          <w:szCs w:val="21"/>
        </w:rPr>
      </w:pPr>
      <w:r>
        <w:rPr>
          <w:rFonts w:cs="Arial"/>
          <w:color w:val="000000"/>
          <w:sz w:val="21"/>
          <w:szCs w:val="21"/>
        </w:rPr>
        <w:t xml:space="preserve">apresentar preço final superior ao preço máximo fixado (Acórdão n.° 1455/2018-TCU – Plenário), desconto menor do que o mínimo exigido, ou que apresentar preço manifestamente inexequível. </w:t>
      </w:r>
    </w:p>
    <w:p>
      <w:pPr>
        <w:numPr>
          <w:ilvl w:val="3"/>
          <w:numId w:val="11"/>
        </w:numPr>
        <w:tabs>
          <w:tab w:val="left" w:pos="420"/>
        </w:tabs>
        <w:spacing w:before="120" w:after="120"/>
        <w:ind w:left="1258" w:firstLine="0"/>
        <w:jc w:val="both"/>
        <w:rPr>
          <w:rFonts w:cs="Arial"/>
          <w:color w:val="000000"/>
          <w:sz w:val="21"/>
          <w:szCs w:val="21"/>
        </w:rPr>
      </w:pPr>
      <w:r>
        <w:rPr>
          <w:rFonts w:cs="Arial"/>
          <w:sz w:val="21"/>
          <w:szCs w:val="21"/>
        </w:rPr>
        <w:t>Quando o licitante não conseguir comprovar que possui ou possuirá recursos suficientes para executar a contento o objeto, será considerada inexequível a proposta de preços ou menor lance que:</w:t>
      </w:r>
    </w:p>
    <w:p>
      <w:pPr>
        <w:numPr>
          <w:ilvl w:val="4"/>
          <w:numId w:val="11"/>
        </w:numPr>
        <w:tabs>
          <w:tab w:val="left" w:pos="420"/>
        </w:tabs>
        <w:spacing w:before="120" w:after="120"/>
        <w:ind w:left="1678" w:firstLine="0"/>
        <w:jc w:val="both"/>
        <w:rPr>
          <w:rFonts w:cs="Arial"/>
          <w:color w:val="000000"/>
          <w:sz w:val="21"/>
          <w:szCs w:val="21"/>
        </w:rPr>
      </w:pPr>
      <w:bookmarkStart w:id="2" w:name="OLE_LINK1"/>
      <w:r>
        <w:rPr>
          <w:rFonts w:cs="Arial"/>
          <w:sz w:val="21"/>
          <w:szCs w:val="2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Pr>
          <w:rFonts w:cs="Arial"/>
          <w:sz w:val="21"/>
          <w:szCs w:val="21"/>
        </w:rPr>
        <w:t>.</w:t>
      </w:r>
    </w:p>
    <w:p>
      <w:pPr>
        <w:numPr>
          <w:ilvl w:val="4"/>
          <w:numId w:val="11"/>
        </w:numPr>
        <w:tabs>
          <w:tab w:val="left" w:pos="420"/>
        </w:tabs>
        <w:spacing w:before="120" w:after="120"/>
        <w:ind w:left="1678" w:firstLine="0"/>
        <w:jc w:val="both"/>
        <w:rPr>
          <w:rFonts w:cs="Arial"/>
          <w:color w:val="000000"/>
          <w:sz w:val="21"/>
          <w:szCs w:val="21"/>
        </w:rPr>
      </w:pPr>
      <w:r>
        <w:rPr>
          <w:rFonts w:cs="Arial"/>
          <w:color w:val="000000"/>
          <w:sz w:val="21"/>
          <w:szCs w:val="21"/>
        </w:rPr>
        <w:t>apresentar um ou mais valores da planilha de custo que sejam inferiores àqueles fixados em instrumentos de caráter normativo obrigatório, tais como leis, medidas provisórias e convenções coletivas de trabalho vigentes.</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SEGES/MPDG N. 5, de 2017, para que a empresa comprove a exequibilidade da proposta.</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Qualquer interessado poderá requerer que se realizem diligências para aferir a exequibilidade e a legalidade das propostas, devendo apresentar as provas ou os indícios que fundamentam a suspeita.</w:t>
      </w:r>
    </w:p>
    <w:p>
      <w:pPr>
        <w:numPr>
          <w:ilvl w:val="2"/>
          <w:numId w:val="11"/>
        </w:numPr>
        <w:tabs>
          <w:tab w:val="left" w:pos="420"/>
        </w:tabs>
        <w:spacing w:before="120" w:after="120"/>
        <w:ind w:left="838" w:firstLine="0"/>
        <w:jc w:val="both"/>
        <w:rPr>
          <w:rFonts w:cs="Arial"/>
          <w:color w:val="000000"/>
          <w:sz w:val="21"/>
          <w:szCs w:val="21"/>
        </w:rPr>
      </w:pPr>
      <w:r>
        <w:rPr>
          <w:rFonts w:cs="Arial"/>
          <w:color w:val="000000"/>
          <w:sz w:val="21"/>
          <w:szCs w:val="21"/>
        </w:rPr>
        <w:t>Na hipótese de necessidade de suspensão de sessão pública para a realização de diligências, com vista ao saneamento das propostas, a sessão pública somente poderá ser reiniciada mediante aviso prévio no sistema com, no mínimo, vinte e quatro horas de antecedência, e a ocorrência será registrada em ata.</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O Pregoeiro poderá convocar o licitante para enviar documento digital complementar, por meio de funcionalidade disponível no sistema, no prazo de 2 (duas)  horas, sob pena de não aceitação da proposta.</w:t>
      </w:r>
    </w:p>
    <w:p>
      <w:pPr>
        <w:numPr>
          <w:ilvl w:val="2"/>
          <w:numId w:val="11"/>
        </w:numPr>
        <w:tabs>
          <w:tab w:val="left" w:pos="420"/>
        </w:tabs>
        <w:spacing w:before="120" w:after="120"/>
        <w:ind w:left="838" w:firstLine="0"/>
        <w:jc w:val="both"/>
        <w:rPr>
          <w:rFonts w:cs="Arial"/>
          <w:color w:val="000000"/>
          <w:sz w:val="21"/>
          <w:szCs w:val="21"/>
        </w:rPr>
      </w:pPr>
      <w:r>
        <w:rPr>
          <w:rFonts w:cs="Arial"/>
          <w:color w:val="000000"/>
          <w:sz w:val="21"/>
          <w:szCs w:val="21"/>
        </w:rPr>
        <w:t>É facultado ao pregoeiro prorrogar o prazo estabelecido, a partir de solicitação fundamentada feita no chat pelo licitante, antes de findo o prazo;</w:t>
      </w:r>
    </w:p>
    <w:p>
      <w:pPr>
        <w:numPr>
          <w:ilvl w:val="2"/>
          <w:numId w:val="11"/>
        </w:numPr>
        <w:tabs>
          <w:tab w:val="left" w:pos="420"/>
        </w:tabs>
        <w:spacing w:before="120" w:after="120"/>
        <w:ind w:left="838" w:firstLine="0"/>
        <w:jc w:val="both"/>
        <w:rPr>
          <w:rFonts w:cs="Arial"/>
          <w:color w:val="000000"/>
          <w:sz w:val="21"/>
          <w:szCs w:val="21"/>
        </w:rPr>
      </w:pPr>
      <w:r>
        <w:rPr>
          <w:rFonts w:cs="Arial"/>
          <w:color w:val="000000"/>
          <w:sz w:val="21"/>
          <w:szCs w:val="21"/>
        </w:rPr>
        <w:t>Dentre os documentos passíveis de solicitação pelo Pregoeiro, destacam-se as planilhas de custo readequadas com o valor final ofertado.</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Todos os dados informados pelo licitante em sua planilha deverão refletir com fidelidade os custos especificados e a margem de lucro pretendida.</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pPr>
        <w:numPr>
          <w:ilvl w:val="1"/>
          <w:numId w:val="11"/>
        </w:numPr>
        <w:tabs>
          <w:tab w:val="left" w:pos="420"/>
        </w:tabs>
        <w:spacing w:before="120" w:after="120"/>
        <w:ind w:left="418" w:firstLine="0"/>
        <w:jc w:val="both"/>
        <w:rPr>
          <w:rFonts w:cs="Arial"/>
          <w:bCs/>
          <w:iCs/>
          <w:sz w:val="21"/>
          <w:szCs w:val="21"/>
        </w:rPr>
      </w:pPr>
      <w:r>
        <w:rPr>
          <w:rFonts w:cs="Arial"/>
          <w:color w:val="000000"/>
          <w:sz w:val="21"/>
          <w:szCs w:val="21"/>
        </w:rPr>
        <w:t xml:space="preserve"> Erros no preenchimento da planilha não constituem motivo para a desclassificação da proposta. A planilha poderá ser ajustada pelo licitante, no prazo indicado pelo Pregoeiro, desde que não haja majoração do preço.</w:t>
      </w:r>
    </w:p>
    <w:p>
      <w:pPr>
        <w:numPr>
          <w:ilvl w:val="2"/>
          <w:numId w:val="11"/>
        </w:numPr>
        <w:tabs>
          <w:tab w:val="left" w:pos="420"/>
        </w:tabs>
        <w:spacing w:before="120" w:after="120"/>
        <w:ind w:left="838" w:firstLine="0"/>
        <w:jc w:val="both"/>
        <w:rPr>
          <w:rFonts w:cs="Arial"/>
          <w:bCs/>
          <w:iCs/>
          <w:sz w:val="21"/>
          <w:szCs w:val="21"/>
        </w:rPr>
      </w:pPr>
      <w:r>
        <w:rPr>
          <w:rFonts w:cs="Arial"/>
          <w:bCs/>
          <w:iCs/>
          <w:sz w:val="21"/>
          <w:szCs w:val="21"/>
        </w:rPr>
        <w:t>O ajuste de que trata este dispositivo se limita a sanar erros ou falhas que não alterem a substância das propostas.</w:t>
      </w:r>
    </w:p>
    <w:p>
      <w:pPr>
        <w:numPr>
          <w:ilvl w:val="2"/>
          <w:numId w:val="11"/>
        </w:numPr>
        <w:tabs>
          <w:tab w:val="left" w:pos="420"/>
        </w:tabs>
        <w:spacing w:before="120" w:after="120"/>
        <w:ind w:left="838" w:firstLine="0"/>
        <w:jc w:val="both"/>
        <w:rPr>
          <w:rFonts w:cs="Arial"/>
          <w:bCs/>
          <w:iCs/>
          <w:sz w:val="21"/>
          <w:szCs w:val="21"/>
        </w:rPr>
      </w:pPr>
      <w:r>
        <w:rPr>
          <w:rFonts w:cs="Arial"/>
          <w:bCs/>
          <w:iCs/>
          <w:sz w:val="21"/>
          <w:szCs w:val="21"/>
        </w:rPr>
        <w:t>Considera-se erro no preenchimento da planilha passível de correção a indicação de recolhimento de impostos e contribuições na forma do Simples Nacional, quando não cabível esse regime.</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Para fins de análise da proposta quanto ao cumprimento das especificações do objeto, poderá ser colhida a manifestação escrita do setor requisitante do serviço ou da área especializada no objeto.</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Se a proposta ou lance vencedor for desclassificado, o Pregoeiro examinará a proposta ou lance subsequente, e, assim sucessivamente, na ordem de classificação.</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Havendo necessidade, o Pregoeiro suspenderá a sessão, informando no “chat” a nova data e horário para a sua continuidade.</w:t>
      </w:r>
    </w:p>
    <w:p>
      <w:pPr>
        <w:numPr>
          <w:ilvl w:val="1"/>
          <w:numId w:val="11"/>
        </w:numPr>
        <w:tabs>
          <w:tab w:val="left" w:pos="420"/>
        </w:tabs>
        <w:spacing w:before="120" w:after="120"/>
        <w:ind w:left="418" w:firstLine="0"/>
        <w:jc w:val="both"/>
        <w:rPr>
          <w:rFonts w:cs="Arial"/>
          <w:color w:val="000000"/>
          <w:sz w:val="21"/>
          <w:szCs w:val="21"/>
        </w:rPr>
      </w:pPr>
      <w:r>
        <w:rPr>
          <w:rFonts w:cs="Arial"/>
          <w:color w:val="000000"/>
          <w:sz w:val="21"/>
          <w:szCs w:val="21"/>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 123, de 2006, seguindo-se a disciplina antes estabelecida, se for o caso. Encerrada a análise quanto à aceitação da proposta, o pregoeiro verificará a habilitação do licitante, observado o disposto neste Edital.</w:t>
      </w:r>
    </w:p>
    <w:p>
      <w:pPr>
        <w:tabs>
          <w:tab w:val="left" w:pos="420"/>
        </w:tabs>
        <w:spacing w:before="120" w:after="120"/>
        <w:jc w:val="both"/>
        <w:rPr>
          <w:rFonts w:cs="Arial"/>
          <w:color w:val="000000"/>
          <w:sz w:val="21"/>
          <w:szCs w:val="21"/>
        </w:rPr>
      </w:pPr>
    </w:p>
    <w:p>
      <w:pPr>
        <w:pStyle w:val="93"/>
        <w:widowControl/>
        <w:numPr>
          <w:ilvl w:val="0"/>
          <w:numId w:val="2"/>
        </w:numPr>
        <w:spacing w:before="120" w:after="120"/>
        <w:rPr>
          <w:rFonts w:ascii="Arial" w:hAnsi="Arial" w:cs="Arial"/>
          <w:b/>
          <w:color w:val="000000"/>
          <w:sz w:val="21"/>
          <w:szCs w:val="21"/>
        </w:rPr>
      </w:pPr>
      <w:r>
        <w:rPr>
          <w:rFonts w:ascii="Arial" w:hAnsi="Arial" w:cs="Arial"/>
          <w:b/>
          <w:sz w:val="21"/>
          <w:szCs w:val="21"/>
        </w:rPr>
        <w:t xml:space="preserve">DA HABILITAÇÃO </w:t>
      </w:r>
    </w:p>
    <w:p>
      <w:pPr>
        <w:pStyle w:val="93"/>
        <w:widowControl/>
        <w:numPr>
          <w:ilvl w:val="1"/>
          <w:numId w:val="2"/>
        </w:numPr>
        <w:spacing w:before="120" w:after="120"/>
        <w:ind w:left="708" w:firstLine="0"/>
        <w:rPr>
          <w:rFonts w:ascii="Arial" w:hAnsi="Arial" w:cs="Arial"/>
          <w:color w:val="000000"/>
          <w:sz w:val="21"/>
          <w:szCs w:val="21"/>
        </w:rPr>
      </w:pPr>
      <w:r>
        <w:rPr>
          <w:rFonts w:ascii="Arial" w:hAnsi="Arial" w:cs="Arial"/>
          <w:color w:val="000000"/>
          <w:sz w:val="21"/>
          <w:szCs w:val="21"/>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110"/>
        <w:numPr>
          <w:ilvl w:val="0"/>
          <w:numId w:val="12"/>
        </w:numPr>
        <w:tabs>
          <w:tab w:val="left" w:pos="1460"/>
          <w:tab w:val="clear" w:pos="425"/>
        </w:tabs>
        <w:spacing w:before="120" w:after="120"/>
        <w:ind w:left="1460" w:leftChars="0" w:hanging="425" w:firstLineChars="0"/>
        <w:jc w:val="both"/>
      </w:pPr>
      <w:r>
        <w:rPr>
          <w:rFonts w:cs="Arial"/>
          <w:sz w:val="21"/>
          <w:szCs w:val="21"/>
          <w:lang w:eastAsia="ar-SA"/>
        </w:rPr>
        <w:t>SICAF;</w:t>
      </w:r>
    </w:p>
    <w:p>
      <w:pPr>
        <w:pStyle w:val="110"/>
        <w:numPr>
          <w:ilvl w:val="0"/>
          <w:numId w:val="12"/>
        </w:numPr>
        <w:tabs>
          <w:tab w:val="left" w:pos="1460"/>
          <w:tab w:val="clear" w:pos="425"/>
        </w:tabs>
        <w:spacing w:before="120" w:after="120"/>
        <w:ind w:left="1460" w:leftChars="0" w:hanging="425" w:firstLineChars="0"/>
        <w:jc w:val="both"/>
      </w:pPr>
      <w:r>
        <w:rPr>
          <w:rFonts w:cs="Arial"/>
          <w:sz w:val="21"/>
          <w:szCs w:val="21"/>
          <w:lang w:eastAsia="ar-SA"/>
        </w:rPr>
        <w:t>Cadastro Nacional de Empresas Inidôneas e Suspensas - CEIS, mantido pela Controladoria-Geral da União (</w:t>
      </w:r>
      <w:r>
        <w:fldChar w:fldCharType="begin"/>
      </w:r>
      <w:r>
        <w:instrText xml:space="preserve"> HYPERLINK "http://www.portaldatransparencia.gov.br/ceis" \h </w:instrText>
      </w:r>
      <w:r>
        <w:fldChar w:fldCharType="separate"/>
      </w:r>
      <w:r>
        <w:rPr>
          <w:rStyle w:val="15"/>
          <w:rFonts w:cs="Arial"/>
          <w:sz w:val="21"/>
          <w:szCs w:val="21"/>
          <w:lang w:eastAsia="ar-SA"/>
        </w:rPr>
        <w:t>www.portaldatransparencia.gov.br/ceis</w:t>
      </w:r>
      <w:r>
        <w:rPr>
          <w:rStyle w:val="15"/>
          <w:rFonts w:cs="Arial"/>
          <w:sz w:val="21"/>
          <w:szCs w:val="21"/>
          <w:lang w:eastAsia="ar-SA"/>
        </w:rPr>
        <w:fldChar w:fldCharType="end"/>
      </w:r>
      <w:r>
        <w:rPr>
          <w:rFonts w:cs="Arial"/>
          <w:sz w:val="21"/>
          <w:szCs w:val="21"/>
          <w:lang w:eastAsia="ar-SA"/>
        </w:rPr>
        <w:t>);</w:t>
      </w:r>
    </w:p>
    <w:p>
      <w:pPr>
        <w:pStyle w:val="110"/>
        <w:numPr>
          <w:ilvl w:val="0"/>
          <w:numId w:val="12"/>
        </w:numPr>
        <w:tabs>
          <w:tab w:val="left" w:pos="1460"/>
          <w:tab w:val="clear" w:pos="425"/>
        </w:tabs>
        <w:spacing w:before="120" w:after="120"/>
        <w:ind w:left="1460" w:leftChars="0" w:hanging="425" w:firstLineChars="0"/>
        <w:jc w:val="both"/>
      </w:pPr>
      <w:r>
        <w:rPr>
          <w:rFonts w:cs="Arial"/>
          <w:sz w:val="21"/>
          <w:szCs w:val="21"/>
          <w:lang w:eastAsia="ar-SA"/>
        </w:rPr>
        <w:t>Cadastro Nacional de Condenações Cíveis por Atos de Improbidade Administrativa, mantido pelo Conselho Nacional de Justiça (</w:t>
      </w:r>
      <w:r>
        <w:fldChar w:fldCharType="begin"/>
      </w:r>
      <w:r>
        <w:instrText xml:space="preserve"> HYPERLINK "http://www.cnj.jus.br/improbidade_adm/consultar_requerido.php" \h </w:instrText>
      </w:r>
      <w:r>
        <w:fldChar w:fldCharType="separate"/>
      </w:r>
      <w:r>
        <w:rPr>
          <w:rStyle w:val="15"/>
          <w:rFonts w:cs="Arial"/>
          <w:sz w:val="21"/>
          <w:szCs w:val="21"/>
          <w:lang w:eastAsia="ar-SA"/>
        </w:rPr>
        <w:t>www.cnj.jus.br/improbidade_adm/consultar_requerido.php</w:t>
      </w:r>
      <w:r>
        <w:rPr>
          <w:rStyle w:val="15"/>
          <w:rFonts w:cs="Arial"/>
          <w:sz w:val="21"/>
          <w:szCs w:val="21"/>
          <w:lang w:eastAsia="ar-SA"/>
        </w:rPr>
        <w:fldChar w:fldCharType="end"/>
      </w:r>
      <w:r>
        <w:rPr>
          <w:rFonts w:cs="Arial"/>
          <w:sz w:val="21"/>
          <w:szCs w:val="21"/>
          <w:lang w:eastAsia="ar-SA"/>
        </w:rPr>
        <w:t>);</w:t>
      </w:r>
    </w:p>
    <w:p>
      <w:pPr>
        <w:pStyle w:val="110"/>
        <w:numPr>
          <w:ilvl w:val="0"/>
          <w:numId w:val="12"/>
        </w:numPr>
        <w:tabs>
          <w:tab w:val="left" w:pos="1460"/>
          <w:tab w:val="clear" w:pos="425"/>
        </w:tabs>
        <w:spacing w:before="120" w:after="120"/>
        <w:ind w:left="1460" w:leftChars="0" w:hanging="425" w:firstLineChars="0"/>
        <w:jc w:val="both"/>
      </w:pPr>
      <w:r>
        <w:rPr>
          <w:rFonts w:cs="Arial"/>
          <w:sz w:val="21"/>
          <w:szCs w:val="21"/>
          <w:lang w:eastAsia="ar-SA"/>
        </w:rPr>
        <w:t xml:space="preserve">Lista de Inidôneos e o Cadastro Integrado de Condenações por Ilícitos Administrativos - CADICON, mantidos pelo Tribunal de Contas da União - TCU; </w:t>
      </w:r>
    </w:p>
    <w:p>
      <w:pPr>
        <w:pStyle w:val="93"/>
        <w:widowControl/>
        <w:numPr>
          <w:ilvl w:val="0"/>
          <w:numId w:val="0"/>
        </w:numPr>
        <w:spacing w:before="120" w:after="120"/>
        <w:ind w:left="708" w:leftChars="0"/>
        <w:rPr>
          <w:rFonts w:ascii="Arial" w:hAnsi="Arial" w:cs="Arial"/>
          <w:color w:val="000000"/>
          <w:sz w:val="21"/>
          <w:szCs w:val="21"/>
        </w:rPr>
      </w:pPr>
    </w:p>
    <w:p>
      <w:pPr>
        <w:pStyle w:val="93"/>
        <w:widowControl/>
        <w:numPr>
          <w:ilvl w:val="1"/>
          <w:numId w:val="2"/>
        </w:numPr>
        <w:spacing w:before="120" w:after="120"/>
        <w:ind w:left="708" w:firstLine="0"/>
        <w:rPr>
          <w:rFonts w:ascii="Arial" w:hAnsi="Arial" w:cs="Arial"/>
          <w:color w:val="000000"/>
          <w:sz w:val="21"/>
          <w:szCs w:val="21"/>
        </w:rPr>
      </w:pPr>
      <w:r>
        <w:rPr>
          <w:rFonts w:ascii="Arial" w:hAnsi="Arial" w:cs="Arial"/>
          <w:color w:val="000000"/>
          <w:sz w:val="21"/>
          <w:szCs w:val="21"/>
        </w:rPr>
        <w:t>Para a consulta de licitantes pessoa jurídica poderá haver a substituição das consultas das alíneas “b”, “c” e “d” acima pela Consulta Consolidada de Pessoa Jurídica do TCU (</w:t>
      </w:r>
      <w:r>
        <w:fldChar w:fldCharType="begin"/>
      </w:r>
      <w:r>
        <w:instrText xml:space="preserve"> HYPERLINK "https://certidoesapf.apps.tcu.gov.br/" </w:instrText>
      </w:r>
      <w:r>
        <w:fldChar w:fldCharType="separate"/>
      </w:r>
      <w:r>
        <w:rPr>
          <w:rStyle w:val="10"/>
          <w:rFonts w:ascii="Arial" w:hAnsi="Arial" w:eastAsia="Times New Roman" w:cs="Arial"/>
          <w:sz w:val="21"/>
          <w:szCs w:val="21"/>
          <w:lang w:bidi="ar-SA"/>
        </w:rPr>
        <w:t>https://certidoesapf.apps.tcu.gov.br/</w:t>
      </w:r>
      <w:r>
        <w:rPr>
          <w:rStyle w:val="10"/>
          <w:rFonts w:ascii="Arial" w:hAnsi="Arial" w:eastAsia="Times New Roman" w:cs="Arial"/>
          <w:sz w:val="21"/>
          <w:szCs w:val="21"/>
          <w:lang w:bidi="ar-SA"/>
        </w:rPr>
        <w:fldChar w:fldCharType="end"/>
      </w:r>
      <w:r>
        <w:rPr>
          <w:rFonts w:ascii="Arial" w:hAnsi="Arial" w:cs="Arial"/>
          <w:color w:val="000000"/>
          <w:sz w:val="21"/>
          <w:szCs w:val="21"/>
        </w:rPr>
        <w:t>);</w:t>
      </w:r>
    </w:p>
    <w:p>
      <w:pPr>
        <w:pStyle w:val="93"/>
        <w:widowControl/>
        <w:numPr>
          <w:ilvl w:val="2"/>
          <w:numId w:val="2"/>
        </w:numPr>
        <w:spacing w:before="120" w:after="120"/>
        <w:ind w:left="1128" w:firstLine="0"/>
        <w:rPr>
          <w:rFonts w:ascii="Arial" w:hAnsi="Arial" w:cs="Arial"/>
          <w:color w:val="000000"/>
          <w:sz w:val="21"/>
          <w:szCs w:val="21"/>
        </w:rPr>
      </w:pPr>
      <w:r>
        <w:rPr>
          <w:rFonts w:ascii="Arial" w:hAnsi="Arial" w:cs="Arial"/>
          <w:color w:val="000000"/>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93"/>
        <w:widowControl/>
        <w:numPr>
          <w:ilvl w:val="3"/>
          <w:numId w:val="2"/>
        </w:numPr>
        <w:spacing w:before="120" w:after="120"/>
        <w:ind w:left="1548" w:firstLine="0"/>
        <w:rPr>
          <w:rFonts w:ascii="Arial" w:hAnsi="Arial" w:cs="Arial"/>
          <w:color w:val="000000"/>
          <w:sz w:val="21"/>
          <w:szCs w:val="21"/>
        </w:rPr>
      </w:pPr>
      <w:r>
        <w:rPr>
          <w:rFonts w:ascii="Arial" w:hAnsi="Arial" w:cs="Arial"/>
          <w:color w:val="000000"/>
          <w:sz w:val="21"/>
          <w:szCs w:val="21"/>
        </w:rPr>
        <w:t>Caso conste na Consulta de Situação do Fornecedor a existência de Ocorrências Impeditivas Indiretas, o gestor diligenciará para verificar se houve fraude por parte das empresas apontadas no Relatório de Ocorrências Impeditivas Indiretas.</w:t>
      </w:r>
    </w:p>
    <w:p>
      <w:pPr>
        <w:pStyle w:val="93"/>
        <w:widowControl/>
        <w:numPr>
          <w:ilvl w:val="4"/>
          <w:numId w:val="2"/>
        </w:numPr>
        <w:spacing w:before="120" w:after="120"/>
        <w:ind w:left="1968" w:firstLine="0"/>
        <w:rPr>
          <w:rFonts w:ascii="Arial" w:hAnsi="Arial" w:cs="Arial"/>
          <w:color w:val="000000"/>
          <w:sz w:val="21"/>
          <w:szCs w:val="21"/>
        </w:rPr>
      </w:pPr>
      <w:r>
        <w:rPr>
          <w:rFonts w:ascii="Arial" w:hAnsi="Arial" w:cs="Arial"/>
          <w:color w:val="000000"/>
          <w:sz w:val="21"/>
          <w:szCs w:val="21"/>
        </w:rPr>
        <w:t>A tentativa de burla será verificada por meio dos vínculos societários, linhas de fornecimento similares, dentre outros.</w:t>
      </w:r>
    </w:p>
    <w:p>
      <w:pPr>
        <w:pStyle w:val="93"/>
        <w:widowControl/>
        <w:numPr>
          <w:ilvl w:val="4"/>
          <w:numId w:val="2"/>
        </w:numPr>
        <w:spacing w:before="120" w:after="120"/>
        <w:ind w:left="1968" w:firstLine="0"/>
        <w:rPr>
          <w:rFonts w:ascii="Arial" w:hAnsi="Arial" w:cs="Arial"/>
          <w:color w:val="000000"/>
          <w:sz w:val="21"/>
          <w:szCs w:val="21"/>
        </w:rPr>
      </w:pPr>
      <w:r>
        <w:rPr>
          <w:rFonts w:ascii="Arial" w:hAnsi="Arial" w:cs="Arial"/>
          <w:color w:val="000000"/>
          <w:sz w:val="21"/>
          <w:szCs w:val="21"/>
        </w:rPr>
        <w:t>O licitante será convocado para manifestação previamente à sua desclassificação.</w:t>
      </w:r>
    </w:p>
    <w:p>
      <w:pPr>
        <w:pStyle w:val="93"/>
        <w:widowControl/>
        <w:numPr>
          <w:ilvl w:val="2"/>
          <w:numId w:val="2"/>
        </w:numPr>
        <w:spacing w:before="120" w:after="120"/>
        <w:ind w:left="1128" w:firstLine="0"/>
        <w:rPr>
          <w:rFonts w:ascii="Arial" w:hAnsi="Arial" w:cs="Arial"/>
          <w:color w:val="000000"/>
          <w:sz w:val="21"/>
          <w:szCs w:val="21"/>
        </w:rPr>
      </w:pPr>
      <w:r>
        <w:rPr>
          <w:rFonts w:ascii="Arial" w:hAnsi="Arial" w:cs="Arial"/>
          <w:color w:val="000000"/>
          <w:sz w:val="21"/>
          <w:szCs w:val="21"/>
        </w:rPr>
        <w:t>Constatada a existência de sanção, o Pregoeiro reputará o licitante inabilitado, por falta de condição de participação.</w:t>
      </w:r>
    </w:p>
    <w:p>
      <w:pPr>
        <w:pStyle w:val="93"/>
        <w:widowControl/>
        <w:numPr>
          <w:ilvl w:val="2"/>
          <w:numId w:val="2"/>
        </w:numPr>
        <w:spacing w:before="120" w:after="120"/>
        <w:ind w:left="1128" w:firstLine="0"/>
        <w:rPr>
          <w:rFonts w:ascii="Arial" w:hAnsi="Arial" w:cs="Arial"/>
          <w:color w:val="000000"/>
          <w:sz w:val="21"/>
          <w:szCs w:val="21"/>
        </w:rPr>
      </w:pPr>
      <w:r>
        <w:rPr>
          <w:rFonts w:ascii="Arial" w:hAnsi="Arial" w:cs="Arial"/>
          <w:color w:val="000000"/>
          <w:sz w:val="21"/>
          <w:szCs w:val="21"/>
        </w:rPr>
        <w:t>No caso de inabilitação, haverá nova verificação, pelo sistema, da eventual ocorrência do empate ficto, previsto nos arts. 44 e 45 da Lei Complementar n.° 123, de 2006, seguindo-se a disciplina antes estabelecida para aceitação da proposta subsequente.</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Caso atendidas as condições de participação, a habilitação do licitante será verificada por meio do SICAF, nos documentos por ele abrangidos, em relação à habilitação jurídica, à regularidade fiscal e à qualificação econômica financeira, conforme o disposto na Instrução Normativa SEGES/MP n.° 03, de 2018.</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O interessado, para efeitos de habilitação prevista na Instrução Normativa SEGES/MP n.° 03, de 2018 mediante utilização do sistema, deverá atender às condições exigidas no cadastramento no SICAF até o terceiro dia útil anterior à data prevista para recebimento das propostas;</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É dever do licitante atualizar previamente as comprovações constantes do SICAF para que estejam vigentes na data da abertura da sessão pública, ou encaminhar, em conjunto com a apresentação da proposta, a respectiva documentação atualizada.</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 xml:space="preserve">Havendo a necessidade de envio de documentos de habilitação complementares, necessários à confirmação daqueles exigidos neste Edital e já apresentados, o licitante será convocado a encaminhá-los, em formato digital, via sistema, no prazo de 2 (duas) horas, sob pena de inabilitação. </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Somente haverá a necessidade de comprovação do preenchimento de requisitos mediante a apresentação dos documentos originais não-digitais quando houver dúvida em relação à integridade do documento digital.</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Não serão aceitos documentos de habilitação com indicação de CNPJ/CPF diferentes, salvo aqueles legalmente permitidos.</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Serão aceitos registros de CNPJ de licitante matriz e filial com diferentes números de documentos pertinentes ao CND e ao CRF/FGTS, quando for comprovada a centralização do recolhimento dessas contribuições.</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Ressalvado o disposto do item 5.3, os licitantes deverão encaminhar, nos termos deste Edital, a documentação nos itens a seguir, para fins de habilitação.</w:t>
      </w:r>
    </w:p>
    <w:p>
      <w:pPr>
        <w:pStyle w:val="93"/>
        <w:widowControl/>
        <w:numPr>
          <w:ilvl w:val="1"/>
          <w:numId w:val="2"/>
        </w:numPr>
        <w:spacing w:before="120" w:after="120"/>
        <w:ind w:left="708" w:firstLine="0"/>
        <w:rPr>
          <w:rFonts w:ascii="Arial" w:hAnsi="Arial" w:cs="Arial"/>
          <w:b/>
          <w:bCs/>
          <w:sz w:val="21"/>
          <w:szCs w:val="21"/>
        </w:rPr>
      </w:pPr>
      <w:r>
        <w:rPr>
          <w:rFonts w:ascii="Arial" w:hAnsi="Arial" w:cs="Arial"/>
          <w:b/>
          <w:bCs/>
          <w:sz w:val="21"/>
          <w:szCs w:val="21"/>
        </w:rPr>
        <w:t xml:space="preserve"> Habilitação jurídica: </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no caso de empresário individual, inscrição no Registro Público de Empresas Mercantis, a cargo da Junta Comercial da respectiva sede;</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Em se tratando de Microempreendedor Individual – MEI: Certificado da Condição de Microempreendedor Individual - CCMEI, cuja aceitação ficará condicionada à verificação da autenticidade no sítio www.portaldoempreendedor.gov.br;</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inscrição no Registro Público de Empresas Mercantis onde opera, com averbação no Registro onde tem sede a matriz, no caso de ser o participante sucursal, filial ou agência;</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No caso de sociedade simples: inscrição do ato constitutivo no Registro Civil das Pessoas Jurídicas do local de sua sede, acompanhada de prova da indicação dos seus administradores;</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decreto de autorização, em se tratando de sociedade empresária estrangeira em funcionamento no País;</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Os documentos acima deverão estar acompanhados de todas as alterações ou da consolidação respectiva.</w:t>
      </w:r>
    </w:p>
    <w:p>
      <w:pPr>
        <w:pStyle w:val="93"/>
        <w:widowControl/>
        <w:numPr>
          <w:ilvl w:val="1"/>
          <w:numId w:val="2"/>
        </w:numPr>
        <w:spacing w:before="120" w:after="120"/>
        <w:ind w:left="708" w:firstLine="0"/>
        <w:rPr>
          <w:rFonts w:ascii="Arial" w:hAnsi="Arial" w:cs="Arial"/>
          <w:b/>
          <w:bCs/>
          <w:sz w:val="21"/>
          <w:szCs w:val="21"/>
        </w:rPr>
      </w:pPr>
      <w:r>
        <w:rPr>
          <w:rFonts w:ascii="Arial" w:hAnsi="Arial" w:cs="Arial"/>
          <w:b/>
          <w:bCs/>
          <w:sz w:val="21"/>
          <w:szCs w:val="21"/>
        </w:rPr>
        <w:t xml:space="preserve">  Regularidade fiscal e trabalhista:</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prova de inscrição no Cadastro Nacional de Pessoas Jurídicas ou no Cadastro de Pessoas Físicas, conforme o caso;</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 1.751, de 02/10/2014, do Secretário da Receita Federal do Brasil e da Procuradora-Geral da Fazenda Nacional.</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prova de regularidade com o Fundo de Garantia do Tempo de Serviço (FGTS);</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prova de inexistência de débitos inadimplidos perante a Justiça do Trabalho, mediante a apresentação de certidão negativa ou positiva com efeito de negativa, nos termos do Título VII-A da Consolidação das Leis do Trabalho, aprovada pelo Decreto-Lei n.° 5.452, de 1º de maio de 1943;</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prova de inscrição no cadastro de contribuintes municipal, relativo ao domicílio ou sede do licitante, pertinente ao seu ramo de atividade e compatível com o objeto contratual; </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prova de regularidade com a Fazenda Municipal do domicílio ou sede do licitante, relativa à atividade em cujo exercício contrata ou concorre; </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pStyle w:val="93"/>
        <w:widowControl/>
        <w:numPr>
          <w:ilvl w:val="1"/>
          <w:numId w:val="2"/>
        </w:numPr>
        <w:spacing w:before="120" w:after="120"/>
        <w:ind w:left="708" w:firstLine="0"/>
        <w:rPr>
          <w:rFonts w:ascii="Arial" w:hAnsi="Arial" w:cs="Arial"/>
          <w:b/>
          <w:bCs/>
          <w:sz w:val="21"/>
          <w:szCs w:val="21"/>
        </w:rPr>
      </w:pPr>
      <w:r>
        <w:rPr>
          <w:rFonts w:ascii="Arial" w:hAnsi="Arial" w:cs="Arial"/>
          <w:b/>
          <w:bCs/>
          <w:sz w:val="21"/>
          <w:szCs w:val="21"/>
        </w:rPr>
        <w:t xml:space="preserve"> Qualificação Econômico-Financeira: </w:t>
      </w:r>
    </w:p>
    <w:p>
      <w:pPr>
        <w:pStyle w:val="93"/>
        <w:widowControl/>
        <w:numPr>
          <w:ilvl w:val="2"/>
          <w:numId w:val="2"/>
        </w:numPr>
        <w:spacing w:before="120" w:after="120"/>
        <w:ind w:left="1128" w:firstLine="0"/>
        <w:rPr>
          <w:rFonts w:ascii="Arial" w:hAnsi="Arial" w:cs="Arial"/>
          <w:sz w:val="21"/>
          <w:szCs w:val="21"/>
        </w:rPr>
      </w:pPr>
      <w:bookmarkStart w:id="3" w:name="_Hlk519668602"/>
      <w:bookmarkEnd w:id="3"/>
      <w:r>
        <w:rPr>
          <w:rFonts w:ascii="Arial" w:hAnsi="Arial" w:cs="Arial"/>
          <w:sz w:val="21"/>
          <w:szCs w:val="21"/>
        </w:rPr>
        <w:t>certidão negativa de falência expedida pelo distribuidor da sede do licitante;</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93"/>
        <w:widowControl/>
        <w:numPr>
          <w:ilvl w:val="3"/>
          <w:numId w:val="2"/>
        </w:numPr>
        <w:spacing w:before="120" w:after="120"/>
        <w:ind w:left="1548" w:firstLine="0"/>
        <w:rPr>
          <w:rFonts w:ascii="Arial" w:hAnsi="Arial" w:cs="Arial"/>
          <w:sz w:val="21"/>
          <w:szCs w:val="21"/>
        </w:rPr>
      </w:pPr>
      <w:r>
        <w:rPr>
          <w:rFonts w:ascii="Arial" w:hAnsi="Arial" w:cs="Arial"/>
          <w:sz w:val="21"/>
          <w:szCs w:val="21"/>
        </w:rPr>
        <w:t>no caso de empresa constituída no exercício social vigente, admite-se a apresentação de balanço patrimoni</w:t>
      </w:r>
      <w:r>
        <w:rPr>
          <w:rFonts w:ascii="Arial" w:hAnsi="Arial" w:cs="Arial"/>
          <w:sz w:val="21"/>
          <w:szCs w:val="21"/>
          <w:lang w:eastAsia="pt-BR"/>
        </w:rPr>
        <w:t>al e demonstrações con</w:t>
      </w:r>
      <w:r>
        <w:rPr>
          <w:rFonts w:ascii="Arial" w:hAnsi="Arial" w:cs="Arial"/>
          <w:sz w:val="21"/>
          <w:szCs w:val="21"/>
        </w:rPr>
        <w:t>tábeis referentes ao período de existência da sociedade;</w:t>
      </w:r>
    </w:p>
    <w:p>
      <w:pPr>
        <w:pStyle w:val="93"/>
        <w:widowControl/>
        <w:numPr>
          <w:ilvl w:val="3"/>
          <w:numId w:val="2"/>
        </w:numPr>
        <w:spacing w:before="120" w:after="120"/>
        <w:ind w:left="1548" w:firstLine="0"/>
        <w:rPr>
          <w:rFonts w:ascii="Arial" w:hAnsi="Arial" w:cs="Arial"/>
          <w:sz w:val="21"/>
          <w:szCs w:val="21"/>
        </w:rPr>
      </w:pPr>
      <w:r>
        <w:rPr>
          <w:rFonts w:ascii="Arial" w:hAnsi="Arial" w:cs="Arial"/>
          <w:sz w:val="21"/>
          <w:szCs w:val="21"/>
        </w:rPr>
        <w:t>é admissível o balanço intermediário, se decorrer de lei ou contrato/estatuto social.</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comprovação da boa situação financeira da empresa mediante obtenção de índices de Liquidez Geral (LG), Solvência Geral (SG) e Liquidez Corrente (LC), superiores a 1 (um), obtidos  pela aplicação das seguintes fórmulas: </w:t>
      </w:r>
    </w:p>
    <w:p>
      <w:pPr>
        <w:pStyle w:val="93"/>
        <w:keepNext/>
        <w:widowControl/>
        <w:numPr>
          <w:ilvl w:val="0"/>
          <w:numId w:val="0"/>
        </w:numPr>
        <w:shd w:val="clear" w:color="auto" w:fill="FFFFFF"/>
        <w:suppressAutoHyphens/>
        <w:spacing w:before="120" w:after="120" w:line="276" w:lineRule="auto"/>
        <w:jc w:val="both"/>
        <w:rPr>
          <w:rFonts w:ascii="Arial" w:hAnsi="Arial" w:cs="Arial"/>
          <w:sz w:val="21"/>
          <w:szCs w:val="21"/>
        </w:rPr>
      </w:pPr>
    </w:p>
    <w:p>
      <w:pPr>
        <w:pStyle w:val="93"/>
        <w:keepNext/>
        <w:widowControl/>
        <w:numPr>
          <w:ilvl w:val="0"/>
          <w:numId w:val="0"/>
        </w:numPr>
        <w:shd w:val="clear" w:color="auto" w:fill="FFFFFF"/>
        <w:suppressAutoHyphens/>
        <w:spacing w:before="120" w:after="120" w:line="276" w:lineRule="auto"/>
        <w:jc w:val="both"/>
        <w:rPr>
          <w:rFonts w:ascii="Arial" w:hAnsi="Arial" w:cs="Arial"/>
          <w:sz w:val="21"/>
          <w:szCs w:val="21"/>
        </w:rPr>
      </w:pPr>
    </w:p>
    <w:tbl>
      <w:tblPr>
        <w:tblStyle w:val="11"/>
        <w:tblW w:w="7839" w:type="dxa"/>
        <w:jc w:val="center"/>
        <w:tblLayout w:type="autofit"/>
        <w:tblCellMar>
          <w:top w:w="0" w:type="dxa"/>
          <w:left w:w="108" w:type="dxa"/>
          <w:bottom w:w="0" w:type="dxa"/>
          <w:right w:w="108" w:type="dxa"/>
        </w:tblCellMar>
      </w:tblPr>
      <w:tblGrid>
        <w:gridCol w:w="2254"/>
        <w:gridCol w:w="5585"/>
      </w:tblGrid>
      <w:tr>
        <w:tblPrEx>
          <w:tblCellMar>
            <w:top w:w="0" w:type="dxa"/>
            <w:left w:w="108" w:type="dxa"/>
            <w:bottom w:w="0" w:type="dxa"/>
            <w:right w:w="108" w:type="dxa"/>
          </w:tblCellMar>
        </w:tblPrEx>
        <w:trPr>
          <w:trHeight w:val="400" w:hRule="atLeast"/>
          <w:jc w:val="center"/>
        </w:trPr>
        <w:tc>
          <w:tcPr>
            <w:tcW w:w="2254" w:type="dxa"/>
            <w:vMerge w:val="restart"/>
            <w:shd w:val="clear" w:color="auto" w:fill="auto"/>
            <w:vAlign w:val="center"/>
          </w:tcPr>
          <w:p>
            <w:pPr>
              <w:tabs>
                <w:tab w:val="left" w:pos="1440"/>
              </w:tabs>
              <w:jc w:val="both"/>
              <w:rPr>
                <w:rFonts w:cs="Arial"/>
                <w:color w:val="000000"/>
                <w:sz w:val="21"/>
                <w:szCs w:val="21"/>
              </w:rPr>
            </w:pPr>
            <w:r>
              <w:rPr>
                <w:rFonts w:cs="Arial"/>
                <w:color w:val="000000"/>
                <w:sz w:val="21"/>
                <w:szCs w:val="21"/>
              </w:rPr>
              <w:t>LG =</w:t>
            </w:r>
          </w:p>
        </w:tc>
        <w:tc>
          <w:tcPr>
            <w:tcW w:w="5585" w:type="dxa"/>
            <w:tcBorders>
              <w:bottom w:val="single" w:color="000001" w:sz="4" w:space="0"/>
            </w:tcBorders>
            <w:shd w:val="clear" w:color="auto" w:fill="auto"/>
            <w:vAlign w:val="bottom"/>
          </w:tcPr>
          <w:p>
            <w:pPr>
              <w:tabs>
                <w:tab w:val="left" w:pos="1440"/>
              </w:tabs>
              <w:jc w:val="center"/>
              <w:rPr>
                <w:rFonts w:cs="Arial"/>
                <w:sz w:val="21"/>
                <w:szCs w:val="21"/>
              </w:rPr>
            </w:pPr>
            <w:r>
              <w:rPr>
                <w:rFonts w:cs="Arial"/>
                <w:color w:val="000000"/>
                <w:sz w:val="21"/>
                <w:szCs w:val="21"/>
              </w:rPr>
              <w:t>Ativo Circulante + Realizável a Longo Prazo</w:t>
            </w:r>
          </w:p>
        </w:tc>
      </w:tr>
      <w:tr>
        <w:tblPrEx>
          <w:tblCellMar>
            <w:top w:w="0" w:type="dxa"/>
            <w:left w:w="108" w:type="dxa"/>
            <w:bottom w:w="0" w:type="dxa"/>
            <w:right w:w="108" w:type="dxa"/>
          </w:tblCellMar>
        </w:tblPrEx>
        <w:trPr>
          <w:trHeight w:val="426" w:hRule="atLeast"/>
          <w:jc w:val="center"/>
        </w:trPr>
        <w:tc>
          <w:tcPr>
            <w:tcW w:w="2254" w:type="dxa"/>
            <w:vMerge w:val="continue"/>
            <w:shd w:val="clear" w:color="auto" w:fill="auto"/>
          </w:tcPr>
          <w:p>
            <w:pPr>
              <w:tabs>
                <w:tab w:val="left" w:pos="1440"/>
              </w:tabs>
              <w:jc w:val="both"/>
              <w:rPr>
                <w:rFonts w:cs="Arial"/>
                <w:color w:val="000000"/>
                <w:sz w:val="21"/>
                <w:szCs w:val="21"/>
              </w:rPr>
            </w:pPr>
          </w:p>
        </w:tc>
        <w:tc>
          <w:tcPr>
            <w:tcW w:w="5585" w:type="dxa"/>
            <w:tcBorders>
              <w:top w:val="single" w:color="000001" w:sz="4" w:space="0"/>
            </w:tcBorders>
            <w:shd w:val="clear" w:color="auto" w:fill="auto"/>
          </w:tcPr>
          <w:p>
            <w:pPr>
              <w:tabs>
                <w:tab w:val="left" w:pos="1440"/>
              </w:tabs>
              <w:jc w:val="center"/>
              <w:rPr>
                <w:rFonts w:cs="Arial"/>
                <w:sz w:val="21"/>
                <w:szCs w:val="21"/>
              </w:rPr>
            </w:pPr>
            <w:r>
              <w:rPr>
                <w:rFonts w:cs="Arial"/>
                <w:color w:val="000000"/>
                <w:sz w:val="21"/>
                <w:szCs w:val="21"/>
              </w:rPr>
              <w:t>Passivo Circulante + Passivo Não Circulante</w:t>
            </w:r>
          </w:p>
        </w:tc>
      </w:tr>
    </w:tbl>
    <w:p>
      <w:pPr>
        <w:tabs>
          <w:tab w:val="left" w:pos="1440"/>
        </w:tabs>
        <w:ind w:left="1134"/>
        <w:jc w:val="both"/>
        <w:rPr>
          <w:rFonts w:cs="Arial"/>
          <w:color w:val="000000"/>
          <w:sz w:val="21"/>
          <w:szCs w:val="21"/>
        </w:rPr>
      </w:pPr>
    </w:p>
    <w:tbl>
      <w:tblPr>
        <w:tblStyle w:val="11"/>
        <w:tblW w:w="7939" w:type="dxa"/>
        <w:jc w:val="center"/>
        <w:tblLayout w:type="autofit"/>
        <w:tblCellMar>
          <w:top w:w="0" w:type="dxa"/>
          <w:left w:w="108" w:type="dxa"/>
          <w:bottom w:w="0" w:type="dxa"/>
          <w:right w:w="108" w:type="dxa"/>
        </w:tblCellMar>
      </w:tblPr>
      <w:tblGrid>
        <w:gridCol w:w="2279"/>
        <w:gridCol w:w="5660"/>
      </w:tblGrid>
      <w:tr>
        <w:tblPrEx>
          <w:tblCellMar>
            <w:top w:w="0" w:type="dxa"/>
            <w:left w:w="108" w:type="dxa"/>
            <w:bottom w:w="0" w:type="dxa"/>
            <w:right w:w="108" w:type="dxa"/>
          </w:tblCellMar>
        </w:tblPrEx>
        <w:trPr>
          <w:cantSplit/>
          <w:trHeight w:val="371" w:hRule="atLeast"/>
          <w:jc w:val="center"/>
        </w:trPr>
        <w:tc>
          <w:tcPr>
            <w:tcW w:w="2279" w:type="dxa"/>
            <w:vMerge w:val="restart"/>
            <w:shd w:val="clear" w:color="auto" w:fill="auto"/>
            <w:vAlign w:val="center"/>
          </w:tcPr>
          <w:p>
            <w:pPr>
              <w:tabs>
                <w:tab w:val="left" w:pos="1440"/>
              </w:tabs>
              <w:jc w:val="both"/>
              <w:rPr>
                <w:rFonts w:cs="Arial"/>
                <w:color w:val="000000"/>
                <w:sz w:val="21"/>
                <w:szCs w:val="21"/>
              </w:rPr>
            </w:pPr>
            <w:r>
              <w:rPr>
                <w:rFonts w:cs="Arial"/>
                <w:color w:val="000000"/>
                <w:sz w:val="21"/>
                <w:szCs w:val="21"/>
              </w:rPr>
              <w:t>SG =</w:t>
            </w:r>
          </w:p>
        </w:tc>
        <w:tc>
          <w:tcPr>
            <w:tcW w:w="5660" w:type="dxa"/>
            <w:tcBorders>
              <w:bottom w:val="single" w:color="000001" w:sz="4" w:space="0"/>
            </w:tcBorders>
            <w:shd w:val="clear" w:color="auto" w:fill="auto"/>
            <w:vAlign w:val="bottom"/>
          </w:tcPr>
          <w:p>
            <w:pPr>
              <w:tabs>
                <w:tab w:val="left" w:pos="1440"/>
              </w:tabs>
              <w:jc w:val="center"/>
              <w:rPr>
                <w:rFonts w:cs="Arial"/>
                <w:sz w:val="21"/>
                <w:szCs w:val="21"/>
              </w:rPr>
            </w:pPr>
            <w:r>
              <w:rPr>
                <w:rFonts w:cs="Arial"/>
                <w:color w:val="000000"/>
                <w:sz w:val="21"/>
                <w:szCs w:val="21"/>
              </w:rPr>
              <w:t>Ativo Total</w:t>
            </w:r>
          </w:p>
        </w:tc>
      </w:tr>
      <w:tr>
        <w:tblPrEx>
          <w:tblCellMar>
            <w:top w:w="0" w:type="dxa"/>
            <w:left w:w="108" w:type="dxa"/>
            <w:bottom w:w="0" w:type="dxa"/>
            <w:right w:w="108" w:type="dxa"/>
          </w:tblCellMar>
        </w:tblPrEx>
        <w:trPr>
          <w:cantSplit/>
          <w:trHeight w:val="397" w:hRule="atLeast"/>
          <w:jc w:val="center"/>
        </w:trPr>
        <w:tc>
          <w:tcPr>
            <w:tcW w:w="2279" w:type="dxa"/>
            <w:vMerge w:val="continue"/>
            <w:shd w:val="clear" w:color="auto" w:fill="auto"/>
          </w:tcPr>
          <w:p>
            <w:pPr>
              <w:tabs>
                <w:tab w:val="left" w:pos="1440"/>
              </w:tabs>
              <w:jc w:val="both"/>
              <w:rPr>
                <w:rFonts w:cs="Arial"/>
                <w:color w:val="000000"/>
                <w:sz w:val="21"/>
                <w:szCs w:val="21"/>
              </w:rPr>
            </w:pPr>
          </w:p>
        </w:tc>
        <w:tc>
          <w:tcPr>
            <w:tcW w:w="5660" w:type="dxa"/>
            <w:tcBorders>
              <w:top w:val="single" w:color="000001" w:sz="4" w:space="0"/>
            </w:tcBorders>
            <w:shd w:val="clear" w:color="auto" w:fill="auto"/>
          </w:tcPr>
          <w:p>
            <w:pPr>
              <w:tabs>
                <w:tab w:val="left" w:pos="1440"/>
              </w:tabs>
              <w:jc w:val="center"/>
              <w:rPr>
                <w:rFonts w:cs="Arial"/>
                <w:sz w:val="21"/>
                <w:szCs w:val="21"/>
              </w:rPr>
            </w:pPr>
            <w:r>
              <w:rPr>
                <w:rFonts w:cs="Arial"/>
                <w:color w:val="000000"/>
                <w:sz w:val="21"/>
                <w:szCs w:val="21"/>
              </w:rPr>
              <w:t>Passivo Circulante + Passivo Não Circulante</w:t>
            </w:r>
          </w:p>
        </w:tc>
      </w:tr>
    </w:tbl>
    <w:p>
      <w:pPr>
        <w:tabs>
          <w:tab w:val="left" w:pos="1440"/>
        </w:tabs>
        <w:ind w:left="1134"/>
        <w:jc w:val="both"/>
        <w:rPr>
          <w:rFonts w:cs="Arial"/>
          <w:color w:val="000000"/>
          <w:sz w:val="21"/>
          <w:szCs w:val="21"/>
        </w:rPr>
      </w:pPr>
    </w:p>
    <w:tbl>
      <w:tblPr>
        <w:tblStyle w:val="11"/>
        <w:tblW w:w="7939" w:type="dxa"/>
        <w:jc w:val="center"/>
        <w:tblLayout w:type="autofit"/>
        <w:tblCellMar>
          <w:top w:w="0" w:type="dxa"/>
          <w:left w:w="108" w:type="dxa"/>
          <w:bottom w:w="0" w:type="dxa"/>
          <w:right w:w="108" w:type="dxa"/>
        </w:tblCellMar>
      </w:tblPr>
      <w:tblGrid>
        <w:gridCol w:w="2282"/>
        <w:gridCol w:w="5657"/>
      </w:tblGrid>
      <w:tr>
        <w:tblPrEx>
          <w:tblCellMar>
            <w:top w:w="0" w:type="dxa"/>
            <w:left w:w="108" w:type="dxa"/>
            <w:bottom w:w="0" w:type="dxa"/>
            <w:right w:w="108" w:type="dxa"/>
          </w:tblCellMar>
        </w:tblPrEx>
        <w:trPr>
          <w:trHeight w:val="439" w:hRule="atLeast"/>
          <w:jc w:val="center"/>
        </w:trPr>
        <w:tc>
          <w:tcPr>
            <w:tcW w:w="2282" w:type="dxa"/>
            <w:vMerge w:val="restart"/>
            <w:shd w:val="clear" w:color="auto" w:fill="auto"/>
            <w:vAlign w:val="center"/>
          </w:tcPr>
          <w:p>
            <w:pPr>
              <w:tabs>
                <w:tab w:val="left" w:pos="1440"/>
              </w:tabs>
              <w:jc w:val="both"/>
              <w:rPr>
                <w:rFonts w:cs="Arial"/>
                <w:color w:val="000000"/>
                <w:sz w:val="21"/>
                <w:szCs w:val="21"/>
              </w:rPr>
            </w:pPr>
            <w:r>
              <w:rPr>
                <w:rFonts w:cs="Arial"/>
                <w:color w:val="000000"/>
                <w:sz w:val="21"/>
                <w:szCs w:val="21"/>
              </w:rPr>
              <w:t>LC =</w:t>
            </w:r>
          </w:p>
        </w:tc>
        <w:tc>
          <w:tcPr>
            <w:tcW w:w="5657" w:type="dxa"/>
            <w:tcBorders>
              <w:bottom w:val="single" w:color="000001" w:sz="4" w:space="0"/>
            </w:tcBorders>
            <w:shd w:val="clear" w:color="auto" w:fill="auto"/>
            <w:vAlign w:val="bottom"/>
          </w:tcPr>
          <w:p>
            <w:pPr>
              <w:tabs>
                <w:tab w:val="left" w:pos="1440"/>
              </w:tabs>
              <w:jc w:val="center"/>
              <w:rPr>
                <w:rFonts w:cs="Arial"/>
                <w:sz w:val="21"/>
                <w:szCs w:val="21"/>
              </w:rPr>
            </w:pPr>
            <w:r>
              <w:rPr>
                <w:rFonts w:cs="Arial"/>
                <w:color w:val="000000"/>
                <w:sz w:val="21"/>
                <w:szCs w:val="21"/>
              </w:rPr>
              <w:t>Ativo Circulante</w:t>
            </w:r>
          </w:p>
        </w:tc>
      </w:tr>
      <w:tr>
        <w:tblPrEx>
          <w:tblCellMar>
            <w:top w:w="0" w:type="dxa"/>
            <w:left w:w="108" w:type="dxa"/>
            <w:bottom w:w="0" w:type="dxa"/>
            <w:right w:w="108" w:type="dxa"/>
          </w:tblCellMar>
        </w:tblPrEx>
        <w:trPr>
          <w:trHeight w:val="477" w:hRule="atLeast"/>
          <w:jc w:val="center"/>
        </w:trPr>
        <w:tc>
          <w:tcPr>
            <w:tcW w:w="2282" w:type="dxa"/>
            <w:vMerge w:val="continue"/>
            <w:shd w:val="clear" w:color="auto" w:fill="auto"/>
          </w:tcPr>
          <w:p>
            <w:pPr>
              <w:tabs>
                <w:tab w:val="left" w:pos="1440"/>
              </w:tabs>
              <w:jc w:val="both"/>
              <w:rPr>
                <w:rFonts w:cs="Arial"/>
                <w:color w:val="000000"/>
                <w:sz w:val="21"/>
                <w:szCs w:val="21"/>
              </w:rPr>
            </w:pPr>
          </w:p>
        </w:tc>
        <w:tc>
          <w:tcPr>
            <w:tcW w:w="5657" w:type="dxa"/>
            <w:tcBorders>
              <w:top w:val="single" w:color="000001" w:sz="4" w:space="0"/>
            </w:tcBorders>
            <w:shd w:val="clear" w:color="auto" w:fill="auto"/>
          </w:tcPr>
          <w:p>
            <w:pPr>
              <w:tabs>
                <w:tab w:val="left" w:pos="1440"/>
              </w:tabs>
              <w:jc w:val="center"/>
              <w:rPr>
                <w:rFonts w:cs="Arial"/>
                <w:sz w:val="21"/>
                <w:szCs w:val="21"/>
              </w:rPr>
            </w:pPr>
            <w:r>
              <w:rPr>
                <w:rFonts w:cs="Arial"/>
                <w:color w:val="000000"/>
                <w:sz w:val="21"/>
                <w:szCs w:val="21"/>
              </w:rPr>
              <w:t>Passivo Circulante</w:t>
            </w:r>
          </w:p>
        </w:tc>
      </w:tr>
    </w:tbl>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As empresas, que apresentarem resultado inferior ou igual a 1(um) em qualquer dos índices de Liquidez Geral (LG), Solvência Geral (SG) e Liquidez Corrente (LC), deverão comprovar patrimônio líquido de </w:t>
      </w:r>
      <w:r>
        <w:rPr>
          <w:rFonts w:ascii="Arial" w:hAnsi="Arial" w:cs="Arial"/>
          <w:b/>
          <w:bCs/>
          <w:i/>
          <w:iCs/>
          <w:sz w:val="21"/>
          <w:szCs w:val="21"/>
        </w:rPr>
        <w:t>10% (dez por cento)</w:t>
      </w:r>
      <w:r>
        <w:rPr>
          <w:rFonts w:ascii="Arial" w:hAnsi="Arial" w:cs="Arial"/>
          <w:sz w:val="21"/>
          <w:szCs w:val="21"/>
        </w:rPr>
        <w:t xml:space="preserve"> do valor total estimado da contratação ou do item pertinente.</w:t>
      </w:r>
    </w:p>
    <w:p>
      <w:pPr>
        <w:pStyle w:val="93"/>
        <w:widowControl/>
        <w:numPr>
          <w:ilvl w:val="0"/>
          <w:numId w:val="0"/>
        </w:numPr>
        <w:spacing w:before="120" w:after="120"/>
        <w:ind w:left="1128" w:leftChars="0"/>
        <w:rPr>
          <w:rFonts w:ascii="Arial" w:hAnsi="Arial" w:cs="Arial"/>
          <w:sz w:val="21"/>
          <w:szCs w:val="21"/>
        </w:rPr>
      </w:pPr>
    </w:p>
    <w:p>
      <w:pPr>
        <w:pStyle w:val="93"/>
        <w:widowControl/>
        <w:numPr>
          <w:ilvl w:val="1"/>
          <w:numId w:val="2"/>
        </w:numPr>
        <w:spacing w:before="120" w:after="120"/>
        <w:ind w:left="708" w:firstLine="0"/>
        <w:rPr>
          <w:rFonts w:ascii="Arial" w:hAnsi="Arial" w:cs="Arial"/>
          <w:b/>
          <w:bCs/>
          <w:sz w:val="21"/>
          <w:szCs w:val="21"/>
        </w:rPr>
      </w:pPr>
      <w:r>
        <w:rPr>
          <w:rFonts w:ascii="Arial" w:hAnsi="Arial" w:cs="Arial"/>
          <w:b/>
          <w:bCs/>
          <w:sz w:val="21"/>
          <w:szCs w:val="21"/>
        </w:rPr>
        <w:t xml:space="preserve"> Qualificação Técnica: </w:t>
      </w:r>
    </w:p>
    <w:p>
      <w:pPr>
        <w:pStyle w:val="81"/>
        <w:numPr>
          <w:ilvl w:val="3"/>
          <w:numId w:val="13"/>
        </w:numPr>
        <w:spacing w:before="120" w:after="120"/>
        <w:jc w:val="both"/>
        <w:rPr>
          <w:rFonts w:cs="Arial"/>
          <w:vanish/>
          <w:color w:val="000000"/>
          <w:sz w:val="21"/>
          <w:szCs w:val="21"/>
        </w:rPr>
      </w:pPr>
    </w:p>
    <w:p>
      <w:pPr>
        <w:pStyle w:val="81"/>
        <w:numPr>
          <w:ilvl w:val="3"/>
          <w:numId w:val="13"/>
        </w:numPr>
        <w:spacing w:before="120" w:after="120"/>
        <w:jc w:val="both"/>
        <w:rPr>
          <w:rFonts w:cs="Arial"/>
          <w:vanish/>
          <w:color w:val="000000"/>
          <w:sz w:val="21"/>
          <w:szCs w:val="21"/>
        </w:rPr>
      </w:pPr>
    </w:p>
    <w:p>
      <w:pPr>
        <w:pStyle w:val="81"/>
        <w:numPr>
          <w:ilvl w:val="3"/>
          <w:numId w:val="13"/>
        </w:numPr>
        <w:spacing w:before="120" w:after="120"/>
        <w:jc w:val="both"/>
        <w:rPr>
          <w:rFonts w:cs="Arial"/>
          <w:vanish/>
          <w:color w:val="000000"/>
          <w:sz w:val="21"/>
          <w:szCs w:val="21"/>
        </w:rPr>
      </w:pPr>
    </w:p>
    <w:p>
      <w:pPr>
        <w:pStyle w:val="81"/>
        <w:numPr>
          <w:ilvl w:val="3"/>
          <w:numId w:val="13"/>
        </w:numPr>
        <w:spacing w:before="120" w:after="120"/>
        <w:jc w:val="both"/>
        <w:rPr>
          <w:rFonts w:cs="Arial"/>
          <w:vanish/>
          <w:color w:val="000000"/>
          <w:sz w:val="21"/>
          <w:szCs w:val="21"/>
        </w:rPr>
      </w:pPr>
    </w:p>
    <w:p>
      <w:pPr>
        <w:pStyle w:val="81"/>
        <w:numPr>
          <w:ilvl w:val="3"/>
          <w:numId w:val="13"/>
        </w:numPr>
        <w:spacing w:before="120" w:after="120"/>
        <w:jc w:val="both"/>
        <w:rPr>
          <w:rFonts w:cs="Arial"/>
          <w:vanish/>
          <w:color w:val="000000"/>
          <w:sz w:val="21"/>
          <w:szCs w:val="21"/>
        </w:rPr>
      </w:pPr>
    </w:p>
    <w:p>
      <w:pPr>
        <w:pStyle w:val="81"/>
        <w:numPr>
          <w:ilvl w:val="3"/>
          <w:numId w:val="13"/>
        </w:numPr>
        <w:spacing w:before="120" w:after="120"/>
        <w:jc w:val="both"/>
        <w:rPr>
          <w:rFonts w:cs="Arial"/>
          <w:vanish/>
          <w:color w:val="000000"/>
          <w:sz w:val="21"/>
          <w:szCs w:val="21"/>
        </w:rPr>
      </w:pPr>
    </w:p>
    <w:p>
      <w:pPr>
        <w:spacing w:before="120" w:after="120"/>
        <w:jc w:val="both"/>
        <w:rPr>
          <w:rFonts w:cs="Arial"/>
          <w:vanish/>
          <w:color w:val="000000"/>
          <w:sz w:val="21"/>
          <w:szCs w:val="21"/>
        </w:rPr>
      </w:pP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pStyle w:val="93"/>
        <w:widowControl/>
        <w:numPr>
          <w:ilvl w:val="3"/>
          <w:numId w:val="2"/>
        </w:numPr>
        <w:spacing w:before="120" w:after="120"/>
        <w:ind w:left="1548" w:firstLine="0"/>
        <w:rPr>
          <w:rFonts w:ascii="Arial" w:hAnsi="Arial" w:cs="Arial"/>
          <w:sz w:val="21"/>
          <w:szCs w:val="21"/>
        </w:rPr>
      </w:pPr>
      <w:r>
        <w:rPr>
          <w:rFonts w:ascii="Arial" w:hAnsi="Arial" w:cs="Arial"/>
          <w:sz w:val="21"/>
          <w:szCs w:val="21"/>
        </w:rPr>
        <w:t>Para fins da comprovação de que trata este subitem, os atestados deverão dizer respeito a serviços executados com as seguintes características mínimas:</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sz w:val="21"/>
          <w:szCs w:val="21"/>
        </w:rPr>
        <w:t>CNPJ, nome comercial, endereço e telefone da(s) sociedade(s) atestante(s);</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cs="Arial"/>
          <w:sz w:val="21"/>
          <w:szCs w:val="21"/>
        </w:rPr>
        <w:t>nome, cargo/função, endereço, telefone e e-mail do(s) representante(s) da(s) sociedade(s) atestante(s) que vier(em) a assinar o(s) atestado(s), a fim de que o IFPB possa com ele(s) manter contato;</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cs="Arial"/>
          <w:sz w:val="21"/>
          <w:szCs w:val="21"/>
        </w:rPr>
        <w:t>CNPJ e nome da sociedade contratada pela(s) sociedade(s) atestante(s) para a execução do objeto atestado;</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cs="Arial"/>
          <w:sz w:val="21"/>
          <w:szCs w:val="21"/>
        </w:rPr>
        <w:t>descrição do objeto atestado, contendo dados que permitam a aferição de sua similaridade com o objeto licitado, nos termos da alínea “a” deste inciso;</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cs="Arial"/>
          <w:sz w:val="21"/>
          <w:szCs w:val="21"/>
        </w:rPr>
        <w:t>data da emissão do(s) atestado(s); e</w:t>
      </w:r>
    </w:p>
    <w:p>
      <w:pPr>
        <w:pStyle w:val="93"/>
        <w:widowControl/>
        <w:numPr>
          <w:ilvl w:val="4"/>
          <w:numId w:val="2"/>
        </w:numPr>
        <w:spacing w:before="120" w:after="120"/>
        <w:ind w:left="1968" w:firstLine="0"/>
        <w:rPr>
          <w:rFonts w:ascii="Arial" w:hAnsi="Arial" w:cs="Arial"/>
          <w:bCs/>
          <w:color w:val="000000"/>
          <w:sz w:val="21"/>
          <w:szCs w:val="21"/>
        </w:rPr>
      </w:pPr>
      <w:r>
        <w:rPr>
          <w:rFonts w:ascii="Arial" w:hAnsi="Arial" w:cs="Arial"/>
          <w:sz w:val="21"/>
          <w:szCs w:val="21"/>
        </w:rPr>
        <w:t>assinatura do(s) representante(s) da(s) sociedade(s) atestante(s).</w:t>
      </w:r>
    </w:p>
    <w:p>
      <w:pPr>
        <w:pStyle w:val="93"/>
        <w:widowControl/>
        <w:numPr>
          <w:ilvl w:val="2"/>
          <w:numId w:val="2"/>
        </w:numPr>
        <w:spacing w:before="120" w:after="120"/>
        <w:ind w:left="1128" w:firstLine="0"/>
        <w:rPr>
          <w:rFonts w:ascii="Arial" w:hAnsi="Arial" w:cs="Arial"/>
          <w:sz w:val="21"/>
          <w:szCs w:val="21"/>
        </w:rPr>
      </w:pPr>
      <w:bookmarkStart w:id="4" w:name="_Hlk519176340"/>
      <w:bookmarkEnd w:id="4"/>
      <w:r>
        <w:rPr>
          <w:rFonts w:ascii="Arial" w:hAnsi="Arial" w:cs="Arial"/>
          <w:sz w:val="21"/>
          <w:szCs w:val="21"/>
        </w:rPr>
        <w:t xml:space="preserve">Os atestados deverão referir-se a serviços prestados no âmbito de sua atividade econômica principal ou secundária especificadas no contrato social vigente; </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pPr>
        <w:pStyle w:val="93"/>
        <w:widowControl/>
        <w:numPr>
          <w:ilvl w:val="2"/>
          <w:numId w:val="2"/>
        </w:numPr>
        <w:spacing w:before="120" w:after="120"/>
        <w:ind w:left="1128" w:firstLine="0"/>
        <w:rPr>
          <w:rFonts w:ascii="Arial" w:hAnsi="Arial" w:cs="Arial"/>
          <w:sz w:val="21"/>
          <w:szCs w:val="21"/>
        </w:rPr>
      </w:pPr>
      <w:bookmarkStart w:id="5" w:name="_Hlk519177818"/>
      <w:bookmarkEnd w:id="5"/>
      <w:r>
        <w:rPr>
          <w:rFonts w:ascii="Arial" w:hAnsi="Arial" w:cs="Arial"/>
          <w:sz w:val="21"/>
          <w:szCs w:val="21"/>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Deverá haver a comprovação da experiência mínima de 3 (três) anos na prestação dos serviços, sendo aceito o somatório de atestados de períodos diferentes, não havendo obrigatoriedade de os 3 (três)  anos serem ininterruptos, conforme item 10.7.1 do Anexo VII-A da IN SEGES/MPDG n. 5/2017.</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As empresas, cadastradas ou não no SICAF, deverão apresentar atestado de vistoria assinado pelo servidor responsável, caso exigida no Termo de Referência.</w:t>
      </w:r>
    </w:p>
    <w:p>
      <w:pPr>
        <w:pStyle w:val="93"/>
        <w:widowControl/>
        <w:numPr>
          <w:ilvl w:val="3"/>
          <w:numId w:val="2"/>
        </w:numPr>
        <w:spacing w:before="120" w:after="120"/>
        <w:ind w:left="1548" w:firstLine="0"/>
        <w:rPr>
          <w:rFonts w:ascii="Arial" w:hAnsi="Arial" w:cs="Arial"/>
          <w:sz w:val="21"/>
          <w:szCs w:val="21"/>
        </w:rPr>
      </w:pPr>
      <w:bookmarkStart w:id="6" w:name="_Hlk518983267"/>
      <w:bookmarkEnd w:id="6"/>
      <w:r>
        <w:rPr>
          <w:rFonts w:ascii="Arial" w:hAnsi="Arial" w:cs="Arial"/>
          <w:sz w:val="21"/>
          <w:szCs w:val="21"/>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93"/>
        <w:widowControl/>
        <w:numPr>
          <w:ilvl w:val="2"/>
          <w:numId w:val="2"/>
        </w:numPr>
        <w:spacing w:before="120" w:after="120"/>
        <w:ind w:left="1128" w:firstLine="0"/>
        <w:rPr>
          <w:rFonts w:ascii="Arial" w:hAnsi="Arial" w:cs="Arial"/>
          <w:sz w:val="21"/>
          <w:szCs w:val="21"/>
        </w:rPr>
      </w:pPr>
      <w:r>
        <w:rPr>
          <w:rFonts w:ascii="Arial" w:hAnsi="Arial" w:cs="Arial"/>
          <w:sz w:val="21"/>
          <w:szCs w:val="21"/>
        </w:rPr>
        <w:t>A declaração do vencedor acontecerá no momento imediatamente posterior à fase de habilitação.</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Caso a proposta mais vantajosa seja ofertada por microempresa, empresa de pequeno porte ou sociedade cooperativa equiparada, e uma vez constatada a existência de alguma restrição no que tange à regularidade fiscal e trabalhista, a mesma será convocada para, no prazo de</w:t>
      </w:r>
      <w:r>
        <w:rPr>
          <w:rFonts w:ascii="Arial" w:hAnsi="Arial" w:cs="Arial"/>
          <w:b/>
          <w:bCs/>
          <w:i/>
          <w:iCs/>
          <w:sz w:val="21"/>
          <w:szCs w:val="21"/>
        </w:rPr>
        <w:t xml:space="preserve"> 5 (cinco) dias úteis</w:t>
      </w:r>
      <w:r>
        <w:rPr>
          <w:rFonts w:ascii="Arial" w:hAnsi="Arial" w:cs="Arial"/>
          <w:sz w:val="21"/>
          <w:szCs w:val="21"/>
        </w:rPr>
        <w:t>, após a declaração do vencedor, comprovar a regularização. O prazo poderá ser prorrogado por igual período, a critério da administração pública, quando requerida pelo licitante, mediante apresentação de justificativa.</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Havendo necessidade de analisar minuciosamente os documentos exigidos, o Pregoeiro suspenderá a sessão, informando no “chat” a nova data e horário para a continuidade da mesma.</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Será inabilitado o licitante que não comprovar sua habilitação, seja por não apresentar quaisquer dos documentos exigidos, ou apresentá-los em desacordo com o estabelecido neste Edital.</w:t>
      </w:r>
    </w:p>
    <w:p>
      <w:pPr>
        <w:pStyle w:val="93"/>
        <w:widowControl/>
        <w:numPr>
          <w:ilvl w:val="1"/>
          <w:numId w:val="2"/>
        </w:numPr>
        <w:spacing w:before="120" w:after="120"/>
        <w:ind w:left="708" w:firstLine="0"/>
        <w:rPr>
          <w:rFonts w:ascii="Arial" w:hAnsi="Arial" w:cs="Arial"/>
          <w:sz w:val="21"/>
          <w:szCs w:val="21"/>
        </w:rPr>
      </w:pPr>
      <w:r>
        <w:rPr>
          <w:rFonts w:ascii="Arial" w:hAnsi="Arial" w:cs="Arial"/>
          <w:sz w:val="21"/>
          <w:szCs w:val="21"/>
        </w:rPr>
        <w:t>Nos itens não exclusivos a microempresas e empresas de pequeno porte, em havendo  inabilitação, haverá nova verificação, pelo sistema, da eventual ocorrência do empate ficto, previsto nos artigos 44 e 45 da LC n.° 123, de 2006, seguindo-se a disciplina antes estabelecida para aceitação da proposta subsequente.</w:t>
      </w:r>
    </w:p>
    <w:p>
      <w:pPr>
        <w:pStyle w:val="93"/>
        <w:widowControl/>
        <w:numPr>
          <w:ilvl w:val="1"/>
          <w:numId w:val="2"/>
        </w:numPr>
        <w:spacing w:before="120" w:after="120"/>
        <w:ind w:left="708" w:firstLine="0"/>
        <w:rPr>
          <w:rFonts w:ascii="Arial" w:hAnsi="Arial" w:cs="Arial"/>
          <w:sz w:val="21"/>
          <w:szCs w:val="21"/>
          <w:lang w:eastAsia="en-US"/>
        </w:rPr>
      </w:pPr>
      <w:r>
        <w:rPr>
          <w:rFonts w:ascii="Arial" w:hAnsi="Arial" w:cs="Arial"/>
          <w:sz w:val="21"/>
          <w:szCs w:val="21"/>
          <w:lang w:eastAsia="pt-BR"/>
        </w:rPr>
        <w:t>Constatado</w:t>
      </w:r>
      <w:r>
        <w:rPr>
          <w:rFonts w:ascii="Arial" w:hAnsi="Arial" w:cs="Arial"/>
          <w:sz w:val="21"/>
          <w:szCs w:val="21"/>
          <w:lang w:eastAsia="en-US"/>
        </w:rPr>
        <w:t xml:space="preserve"> o atendimento às exigências de habilitação fixadas no Edital, o licitante será declarado vencedor.</w:t>
      </w:r>
    </w:p>
    <w:p>
      <w:pPr>
        <w:spacing w:before="120" w:after="120"/>
        <w:ind w:left="425"/>
        <w:jc w:val="both"/>
        <w:rPr>
          <w:rFonts w:cs="Arial"/>
          <w:color w:val="FF0000"/>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ENCAMINHAMENTO DA PROPOSTA VENCEDORA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proposta final do licitante declarado vencedor deverá ser encaminhada no prazo de 2 (duas) horas, a contar da solicitação do Pregoeiro no sistema eletrônico e deverá:</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ser redigida em língua portuguesa, datilografada ou digitada, em uma via, sem emendas, rasuras, entrelinhas ou ressalvas, devendo a última folha ser assinada e as demais rubricadas pelo licitante ou seu representante legal.</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 xml:space="preserve">apresentar a planilha de custos e formação de preços, devidamente ajustada ao lance vencedor, em conformidade com o modelo anexo a este instrumento convocatório. </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 xml:space="preserve">conter a indicação do banco, número da conta e agência do licitante  vencedor, para fins de pagamento.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proposta final deverá ser documentada nos autos e será levada em consideração no decorrer da execução do contrato e aplicação de eventual sanção à Contratada, se for o caso.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Todas as especificações do objeto contidas na proposta vinculam a Contratada.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Os preços deverão ser expressos em moeda corrente nacional, o valor unitário em algarismos e o valor global em algarismos e por extenso (art. 5º da Lei n.° 8.666/93).</w:t>
      </w:r>
    </w:p>
    <w:p>
      <w:pPr>
        <w:spacing w:before="120" w:after="120"/>
        <w:jc w:val="both"/>
        <w:rPr>
          <w:rFonts w:cs="Arial"/>
          <w:sz w:val="21"/>
          <w:szCs w:val="21"/>
        </w:rPr>
      </w:pP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Ocorrendo divergência entre os preços unitários e o preço global, prevalecerão os primeiros; no caso de divergência entre os valores numéricos e os valores expressos por extenso, prevalecerão estes últimos.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oferta deverá ser firme e precisa, limitada, rigorosamente, ao objeto deste Edital, sem conter alternativas de preço ou de qualquer outra condição que induza o julgamento a mais de um resultado, sob pena de desclassificação.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proposta deverá obedecer aos termos deste Edital e seus Anexos, não sendo considerada aquela que não corresponda às especificações ali contidas ou que estabeleça vínculo à proposta de outro licitante.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propostas que contenham a descrição do objeto, o valor e os documentos complementares estarão disponíveis na internet, após a homologação.</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DOS RECURSOS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Pregoeiro declarará o vencedor e, depois de decorrida a fase de regularização fiscal e trabalhista de microempresa ou empresa de pequeno porte, se for o caso, concederá o prazo de no mínimo trinta minutos, para que qualquer licitante manifeste a intenção de recorrer, de forma motivada, isto é, indicando contra qual(is) decisão(ões) pretende recorrer e por quais motivos, em campo próprio do sistema.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Havendo quem se manifeste, caberá ao Pregoeiro verificar a tempestividade e a existência de motivação da intenção de recorrer, para decidir se admite ou não o recurso, fundamentadamente.</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Nesse momento o Pregoeiro não adentrará no mérito recursal, mas apenas verificará as condições de admissibilidade do recurso.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falta de manifestação motivada do licitante quanto à intenção de recorrer importará a decadência desse direito.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O acolhimento do recurso invalida tão somente os atos insuscetíveis de aproveitamento.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Os autos do processo permanecerão com vista franqueada aos interessados, no endereço constante neste Edital.</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REABERTURA DA SESSÃO PÚBLICA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sessão pública poderá ser reaberta:</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 123/2006, serão adotados os procedimentos imediatamente posteriores ao encerramento da etapa de lances.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Todos os licitantes remanescentes deverão ser convocados para acompanhar a sessão reaberta.</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convocação se dará por meio do sistema eletrônico (“chat”), e-mail, de acordo com a fase do procedimento licitatório.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convocação feita por e-mail dar-se-á de acordo com os dados contidos no SICAF, sendo responsabilidade do licitante manter seus dados cadastrais atualizados.</w:t>
      </w:r>
    </w:p>
    <w:p>
      <w:pPr>
        <w:pStyle w:val="93"/>
        <w:widowControl/>
        <w:spacing w:before="120" w:after="120"/>
        <w:ind w:left="112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ADJUDICAÇÃO E HOMOLOGAÇÃO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objeto da licitação será adjudicado ao licitante declarado vencedor, por ato do Pregoeiro, caso não haja interposição de recurso, ou pela autoridade competente, após a regular decisão dos recursos apresentados.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Após a fase recursal, constatada a regularidade dos atos praticados, a autoridade competente homologará o procedimento licitatório. </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GARANTIA DE EXECUÇÃO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Não haverá exigência de garantia de execução para a presente contratação.</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ATA DE REGISTRO DE PREÇOS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Homologado o resultado da licitação, terá o adjudicatário o prazo de </w:t>
      </w:r>
      <w:r>
        <w:rPr>
          <w:rFonts w:ascii="Arial" w:hAnsi="Arial" w:cs="Arial"/>
          <w:b/>
          <w:bCs/>
          <w:i/>
          <w:iCs/>
          <w:sz w:val="21"/>
          <w:szCs w:val="21"/>
          <w:lang w:eastAsia="pt-BR"/>
        </w:rPr>
        <w:t>5 (cinco) dias</w:t>
      </w:r>
      <w:r>
        <w:rPr>
          <w:rFonts w:ascii="Arial" w:hAnsi="Arial" w:cs="Arial"/>
          <w:sz w:val="21"/>
          <w:szCs w:val="21"/>
          <w:lang w:eastAsia="pt-BR"/>
        </w:rPr>
        <w:t xml:space="preserve">, contados a partir da data de sua convocação, para assinar a Ata de Registro de Preços, cujo prazo de validade encontra-se nela fixado, sob pena de decair do direito à contratação, sem prejuízo das sanções previstas neste Edital.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ascii="Arial" w:hAnsi="Arial" w:cs="Arial"/>
          <w:b/>
          <w:bCs/>
          <w:i/>
          <w:iCs/>
          <w:sz w:val="21"/>
          <w:szCs w:val="21"/>
          <w:lang w:eastAsia="pt-BR"/>
        </w:rPr>
        <w:t>5 (cinco) dias</w:t>
      </w:r>
      <w:r>
        <w:rPr>
          <w:rFonts w:ascii="Arial" w:hAnsi="Arial" w:cs="Arial"/>
          <w:sz w:val="21"/>
          <w:szCs w:val="21"/>
          <w:lang w:eastAsia="pt-BR"/>
        </w:rPr>
        <w:t>, a contar da data de seu recebimento.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Será incluído na ata, sob a forma de anexo, o registro dos licitantes que aceitarem cotar os bens ou serviços com preços iguais aos do licitante vencedor na sequência da classificação do certame, quando o objeto não atender aos requisitos previstos no art. 3º da Lei n.° 8.666, de 1993;</w:t>
      </w:r>
    </w:p>
    <w:p>
      <w:pPr>
        <w:pStyle w:val="91"/>
        <w:spacing w:before="0"/>
        <w:ind w:left="360"/>
        <w:rPr>
          <w:rFonts w:cs="Arial"/>
          <w:sz w:val="21"/>
          <w:szCs w:val="21"/>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TERMO DE CONTRATO OU INSTRUMENTO EQUIVALENTE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Após a homologação da licitação, em sendo realizada a contratação, será firmado Termo de Contrato ou emitido instrumento equivalente.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O adjudicatário terá o prazo de </w:t>
      </w:r>
      <w:r>
        <w:rPr>
          <w:rFonts w:ascii="Arial" w:hAnsi="Arial" w:cs="Arial"/>
          <w:b/>
          <w:bCs/>
          <w:i/>
          <w:iCs/>
          <w:sz w:val="21"/>
          <w:szCs w:val="21"/>
          <w:lang w:eastAsia="pt-BR"/>
        </w:rPr>
        <w:t>5 (cinco) dias úteis</w:t>
      </w:r>
      <w:r>
        <w:rPr>
          <w:rFonts w:ascii="Arial" w:hAnsi="Arial" w:cs="Arial"/>
          <w:sz w:val="21"/>
          <w:szCs w:val="21"/>
          <w:lang w:eastAsia="pt-BR"/>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ascii="Arial" w:hAnsi="Arial" w:cs="Arial"/>
          <w:b/>
          <w:bCs/>
          <w:i/>
          <w:iCs/>
          <w:sz w:val="21"/>
          <w:szCs w:val="21"/>
          <w:lang w:eastAsia="pt-BR"/>
        </w:rPr>
        <w:t>5 (cinco) dias</w:t>
      </w:r>
      <w:r>
        <w:rPr>
          <w:rFonts w:ascii="Arial" w:hAnsi="Arial" w:cs="Arial"/>
          <w:sz w:val="21"/>
          <w:szCs w:val="21"/>
          <w:lang w:eastAsia="pt-BR"/>
        </w:rPr>
        <w:t xml:space="preserve">, a contar da data de seu recebimento. </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O prazo previsto no subitem anterior poderá ser prorrogado, por igual período, por solicitação justificada do adjudicatário e aceita pela Administração.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Aceite da Nota de Empenho ou do instrumento equivalente, emitida à empresa adjudicada, implica no reconhecimento de que:</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referida Nota está substituindo o contrato, aplicando-se à relação de negócios ali estabelecida as disposições da Lei n.° 8.666, de 1993;</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contratada se vincula à sua proposta e às previsões contidas no edital e seus anexos;</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contratada reconhece que as hipóteses de rescisão são aquelas previstas nos artigos 77 e 78 da Lei n.° 8.666/93 e reconhece os direitos da Administração previstos nos artigos 79 e 80 da mesma Lei.</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prazo de vigência da contratação é de</w:t>
      </w:r>
      <w:r>
        <w:rPr>
          <w:rFonts w:ascii="Arial" w:hAnsi="Arial" w:cs="Arial"/>
          <w:b/>
          <w:bCs/>
          <w:sz w:val="21"/>
          <w:szCs w:val="21"/>
          <w:lang w:eastAsia="pt-BR"/>
        </w:rPr>
        <w:t xml:space="preserve"> </w:t>
      </w:r>
      <w:r>
        <w:rPr>
          <w:rFonts w:hint="default" w:ascii="Arial" w:hAnsi="Arial" w:cs="Arial"/>
          <w:b/>
          <w:bCs/>
          <w:sz w:val="21"/>
          <w:szCs w:val="21"/>
          <w:lang w:val="en-US" w:eastAsia="pt-BR"/>
        </w:rPr>
        <w:t>12</w:t>
      </w:r>
      <w:r>
        <w:rPr>
          <w:rFonts w:ascii="Arial" w:hAnsi="Arial" w:cs="Arial"/>
          <w:b/>
          <w:bCs/>
          <w:i/>
          <w:iCs/>
          <w:sz w:val="21"/>
          <w:szCs w:val="21"/>
          <w:lang w:eastAsia="pt-BR"/>
        </w:rPr>
        <w:t xml:space="preserve"> (</w:t>
      </w:r>
      <w:r>
        <w:rPr>
          <w:rFonts w:hint="default" w:ascii="Arial" w:hAnsi="Arial" w:cs="Arial"/>
          <w:b/>
          <w:bCs/>
          <w:i/>
          <w:iCs/>
          <w:sz w:val="21"/>
          <w:szCs w:val="21"/>
          <w:lang w:val="en-US" w:eastAsia="pt-BR"/>
        </w:rPr>
        <w:t>doze</w:t>
      </w:r>
      <w:r>
        <w:rPr>
          <w:rFonts w:ascii="Arial" w:hAnsi="Arial" w:cs="Arial"/>
          <w:b/>
          <w:bCs/>
          <w:i/>
          <w:iCs/>
          <w:sz w:val="21"/>
          <w:szCs w:val="21"/>
          <w:lang w:eastAsia="pt-BR"/>
        </w:rPr>
        <w:t>) meses</w:t>
      </w:r>
      <w:r>
        <w:rPr>
          <w:rFonts w:ascii="Arial" w:hAnsi="Arial" w:cs="Arial"/>
          <w:sz w:val="21"/>
          <w:szCs w:val="21"/>
          <w:lang w:eastAsia="pt-BR"/>
        </w:rPr>
        <w:t xml:space="preserve"> prorrogável conforme previsão no instrumento contratual ou no termo de referência.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 3, de 26 de abril de 2018, e nos termos do art. 6º, III, da Lei n.° 10.522, de 19 de julho de 2002, consulta prévia ao CADIN. </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Nos casos em que houver necessidade de assinatura do instrumento de contrato, e o fornecedor não estiver inscrito no SICAF, este deverá proceder ao seu cadastramento, sem ônus, antes da contratação.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Na hipótese de irregularidade do registro no SICAF, o contratado deverá regularizar a sua situação perante o cadastro no prazo de até 05 (cinco) dias úteis, sob pena de aplicação das penalidades previstas no edital e anexos.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Na assinatura do contrato ou da ata de registro de preços, será exigida a comprovação das condições de habilitação consignadas no edital, que deverão ser mantidas pelo licitante durante a vigência do contrato ou da ata de registro de preços.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REAJUSTAMENTO EM SENTIDO GERAL</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regras acerca do reajustamento em sentido geral do valor contratual são as estabelecidas no Termo de Referência, anexo a este Edital.</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RECEBIMENTO DO OBJETO E DA FISCALIZAÇÃO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Os critérios de recebimento e aceitação do objeto e de fiscalização estão previstos no Termo de Referência.</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DAS OBRIGAÇÕES DA CONTRATANTE E DA CONTRATADA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obrigações da Contratante e da Contratada são as estabelecidas no Termo de Referência.</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DO PAGAMENTO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regras acerca do pagamento são as estabelecidas no Termo de Referência, anexo a este Edital.</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DAS SANÇÕES ADMINISTRATIVAS.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Comete infração administrativa, nos termos da Lei n.° 10.520, de 2002, o licitante/adjudicatário que: </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não assinar o termo de contrato ou aceitar/retirar o instrumento equivalente, quando convocado dentro do prazo de validade da proposta;</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não assinar a ata de registro de preços, quando cabível;</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apresentar documentação falsa;</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deixar de entregar os documentos exigidos no certame;</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ensejar o retardamento da execução do objeto;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não mantiver a proposta;</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cometer fraude fiscal;</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comportar-se de modo inidôneo;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sanções do item acima também se aplicam aos integrantes do cadastro de reserva, em pregão para registro de preços que, convocados, não honrarem o compromisso assumido injustificadamente.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licitante/adjudicatário que cometer qualquer das infrações discriminadas nos subitens anteriores ficará sujeito, sem prejuízo da responsabilidade civil e criminal, às seguintes sanções:</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Advertência por faltas leves, assim entendidas como aquelas que não acarretarem prejuízos significativos ao objeto da contratação;</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Multa de 20% (vinte por cento) sobre o valor estimado do(s) item(s) prejudicado(s) pela conduta do licitante;</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Suspensão de licitar e impedimento de contratar com o órgão, entidade ou unidade administrativa pela qual a Administração Pública opera e atua concretamente, pelo prazo de até dois anos;</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Impedimento de licitar e de contratar com a União e descredenciamento no SICAF, pelo prazo de até cinco anos;</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penalidade de multa pode ser aplicada cumulativamente com as demais sanções.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Se, durante o processo de aplicação de penalidade, se houver indícios de prática de infração administrativa tipificada pela Lei n.°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apuração e o julgamento das demais infrações administrativas não consideradas como ato lesivo à Administração Pública nacional ou estrangeira nos termos da Lei n.° 12.846, de 1º de agosto de 2013, seguirão seu rito normal na unidade administrativa.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Caso o valor da multa não seja suficiente para cobrir os prejuízos causados pela conduta do licitante, a União ou Entidade poderá cobrar o valor remanescente judicialmente, conforme artigo 419 do Código Civil.</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aplicação de qualquer das penalidades previstas realizar-se-á em processo administrativo que assegurará o contraditório e a ampla defesa ao licitante/adjudicatário, observando-se o procedimento previsto na Lei n.° 8.666, de 1993, e subsidiariamente na Lei n.° 9.784, de 1999.</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autoridade competente, na aplicação das sanções, levará em consideração a gravidade da conduta do infrator, o caráter educativo da pena, bem como o dano causado à Administração, observado o princípio da proporcionalidade.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penalidades serão obrigatoriamente registradas no SICAF.</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sanções por atos praticados no decorrer da contratação estão previstas no Termo de Referência.</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 xml:space="preserve">DA FORMAÇÃO DO CADASTRO DE RESERVA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Após o encerramento da etapa competitiva, os licitantes poderão reduzir seus preços ao valor da proposta do licitante mais bem classificado.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 apresentação de novas propostas na forma deste item não prejudicará o resultado do certame em relação ao licitante melhor classificado.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Havendo um ou mais licitantes que aceitem cotar suas propostas em valor igual ao do licitante vencedor, estes serão classificados segundo a ordem da última proposta individual apresentada durante a fase competitiva.</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 IMPUGNAÇÃO AO EDITAL E DO PEDIDO DE ESCLARECIMENTO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Até </w:t>
      </w:r>
      <w:r>
        <w:rPr>
          <w:rFonts w:ascii="Arial" w:hAnsi="Arial" w:cs="Arial"/>
          <w:b/>
          <w:bCs/>
          <w:i/>
          <w:iCs/>
          <w:sz w:val="21"/>
          <w:szCs w:val="21"/>
          <w:lang w:eastAsia="pt-BR"/>
        </w:rPr>
        <w:t>3 (três) dias úteis</w:t>
      </w:r>
      <w:r>
        <w:rPr>
          <w:rFonts w:ascii="Arial" w:hAnsi="Arial" w:cs="Arial"/>
          <w:sz w:val="21"/>
          <w:szCs w:val="21"/>
          <w:lang w:eastAsia="pt-BR"/>
        </w:rPr>
        <w:t xml:space="preserve"> antes da data designada para a abertura da sessão pública, qualquer pessoa poderá impugnar este Edital.</w:t>
      </w:r>
    </w:p>
    <w:p>
      <w:pPr>
        <w:pStyle w:val="93"/>
        <w:widowControl/>
        <w:numPr>
          <w:ilvl w:val="1"/>
          <w:numId w:val="2"/>
        </w:numPr>
        <w:spacing w:before="120" w:after="120"/>
        <w:ind w:left="708" w:firstLine="0"/>
        <w:rPr>
          <w:rFonts w:ascii="Arial" w:hAnsi="Arial" w:cs="Arial"/>
          <w:b/>
          <w:bCs/>
          <w:sz w:val="21"/>
          <w:szCs w:val="21"/>
          <w:lang w:eastAsia="pt-BR"/>
        </w:rPr>
      </w:pPr>
      <w:r>
        <w:rPr>
          <w:rFonts w:ascii="Arial" w:hAnsi="Arial" w:cs="Arial"/>
          <w:sz w:val="21"/>
          <w:szCs w:val="21"/>
          <w:lang w:eastAsia="pt-BR"/>
        </w:rPr>
        <w:t xml:space="preserve">A impugnação poderá ser realizada por forma eletrônica, </w:t>
      </w:r>
      <w:r>
        <w:rPr>
          <w:rFonts w:ascii="Arial" w:hAnsi="Arial" w:cs="Arial"/>
          <w:color w:val="000000"/>
          <w:sz w:val="21"/>
          <w:szCs w:val="21"/>
        </w:rPr>
        <w:t xml:space="preserve">pelo e-mail: </w:t>
      </w:r>
      <w:r>
        <w:fldChar w:fldCharType="begin"/>
      </w:r>
      <w:r>
        <w:instrText xml:space="preserve"> HYPERLINK "mailto:licitacao@ifpb.edu.br" </w:instrText>
      </w:r>
      <w:r>
        <w:fldChar w:fldCharType="separate"/>
      </w:r>
      <w:r>
        <w:rPr>
          <w:rStyle w:val="10"/>
          <w:rFonts w:ascii="Arial" w:hAnsi="Arial" w:cs="Arial"/>
          <w:sz w:val="21"/>
          <w:szCs w:val="21"/>
        </w:rPr>
        <w:t>licitacao@ifpb.edu.br</w:t>
      </w:r>
      <w:r>
        <w:rPr>
          <w:rStyle w:val="10"/>
          <w:rFonts w:ascii="Arial" w:hAnsi="Arial" w:cs="Arial"/>
          <w:sz w:val="21"/>
          <w:szCs w:val="21"/>
        </w:rPr>
        <w:fldChar w:fldCharType="end"/>
      </w:r>
      <w:r>
        <w:rPr>
          <w:rFonts w:ascii="Arial" w:hAnsi="Arial" w:cs="Arial"/>
          <w:sz w:val="21"/>
          <w:szCs w:val="21"/>
        </w:rPr>
        <w:t>,</w:t>
      </w:r>
      <w:r>
        <w:rPr>
          <w:rFonts w:ascii="Arial" w:hAnsi="Arial" w:cs="Arial"/>
          <w:sz w:val="21"/>
          <w:szCs w:val="21"/>
          <w:lang w:eastAsia="pt-BR"/>
        </w:rPr>
        <w:t xml:space="preserve"> ou por petição dirigida ou protocolada no endereço </w:t>
      </w:r>
      <w:r>
        <w:rPr>
          <w:rFonts w:ascii="Arial" w:hAnsi="Arial" w:cs="Arial"/>
          <w:b/>
          <w:bCs/>
          <w:sz w:val="21"/>
          <w:szCs w:val="21"/>
          <w:lang w:eastAsia="pt-BR"/>
        </w:rPr>
        <w:t>Av. Almirante Barroso, 1077 - Centro - João Pessoa - PB - CEP: 58.013-120, Diretoria de Compras, Contratos e Licitações.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Caberá ao Pregoeiro, auxiliado pelos responsáveis pela elaboração deste Edital e seus anexos, decidir sobre a impugnação no prazo de até </w:t>
      </w:r>
      <w:r>
        <w:rPr>
          <w:rFonts w:ascii="Arial" w:hAnsi="Arial" w:cs="Arial"/>
          <w:b/>
          <w:bCs/>
          <w:i/>
          <w:iCs/>
          <w:sz w:val="21"/>
          <w:szCs w:val="21"/>
          <w:lang w:eastAsia="pt-BR"/>
        </w:rPr>
        <w:t>2 (dois) dias úteis</w:t>
      </w:r>
      <w:r>
        <w:rPr>
          <w:rFonts w:ascii="Arial" w:hAnsi="Arial" w:cs="Arial"/>
          <w:sz w:val="21"/>
          <w:szCs w:val="21"/>
          <w:lang w:eastAsia="pt-BR"/>
        </w:rPr>
        <w:t xml:space="preserve"> contados da data de recebimento da impugnação.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Acolhida a impugnação, será definida e publicada nova data para a realização do certame.</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Os pedidos de esclarecimentos referentes a este processo licitatório deverão ser enviados ao Pregoeiro, até </w:t>
      </w:r>
      <w:r>
        <w:rPr>
          <w:rFonts w:ascii="Arial" w:hAnsi="Arial" w:cs="Arial"/>
          <w:b/>
          <w:bCs/>
          <w:i/>
          <w:iCs/>
          <w:sz w:val="21"/>
          <w:szCs w:val="21"/>
          <w:lang w:eastAsia="pt-BR"/>
        </w:rPr>
        <w:t>3 (três) dias úteis</w:t>
      </w:r>
      <w:r>
        <w:rPr>
          <w:rFonts w:ascii="Arial" w:hAnsi="Arial" w:cs="Arial"/>
          <w:sz w:val="21"/>
          <w:szCs w:val="21"/>
          <w:lang w:eastAsia="pt-BR"/>
        </w:rPr>
        <w:t xml:space="preserve"> anteriores à data designada para abertura da sessão pública, exclusivamente por meio eletrônico via internet, no endereço indicado no Edital.</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O pregoeiro responderá aos pedidos de esclarecimentos no prazo de </w:t>
      </w:r>
      <w:r>
        <w:rPr>
          <w:rFonts w:ascii="Arial" w:hAnsi="Arial" w:cs="Arial"/>
          <w:b/>
          <w:bCs/>
          <w:i/>
          <w:iCs/>
          <w:sz w:val="21"/>
          <w:szCs w:val="21"/>
          <w:lang w:eastAsia="pt-BR"/>
        </w:rPr>
        <w:t>2 (dois) dias úteis</w:t>
      </w:r>
      <w:r>
        <w:rPr>
          <w:rFonts w:ascii="Arial" w:hAnsi="Arial" w:cs="Arial"/>
          <w:sz w:val="21"/>
          <w:szCs w:val="21"/>
          <w:lang w:eastAsia="pt-BR"/>
        </w:rPr>
        <w:t>, contados da data do recebimento do pedido e poderá requisitar subsídios formais aos responsáveis pela elaboração do edital e dos anexos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impugnações e pedidos de esclarecimentos não suspendem os prazos previstos no certame.</w:t>
      </w:r>
    </w:p>
    <w:p>
      <w:pPr>
        <w:pStyle w:val="93"/>
        <w:widowControl/>
        <w:numPr>
          <w:ilvl w:val="2"/>
          <w:numId w:val="2"/>
        </w:numPr>
        <w:spacing w:before="120" w:after="120"/>
        <w:ind w:left="1128" w:firstLine="0"/>
        <w:rPr>
          <w:rFonts w:ascii="Arial" w:hAnsi="Arial" w:cs="Arial"/>
          <w:sz w:val="21"/>
          <w:szCs w:val="21"/>
          <w:lang w:eastAsia="pt-BR"/>
        </w:rPr>
      </w:pPr>
      <w:r>
        <w:rPr>
          <w:rFonts w:ascii="Arial" w:hAnsi="Arial" w:cs="Arial"/>
          <w:sz w:val="21"/>
          <w:szCs w:val="21"/>
          <w:lang w:eastAsia="pt-BR"/>
        </w:rPr>
        <w:t>A concessão de efeito suspensivo à impugnação é medida excepcional e deverá ser motivada pelo pregoeiro, nos autos do processo de licitação.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As respostas aos pedidos de esclarecimentos serão divulgadas pelo sistema e vincularão os participantes e a administração.</w:t>
      </w:r>
    </w:p>
    <w:p>
      <w:pPr>
        <w:pStyle w:val="93"/>
        <w:widowControl/>
        <w:spacing w:before="120" w:after="120"/>
        <w:ind w:left="708" w:firstLine="0"/>
        <w:rPr>
          <w:rFonts w:ascii="Arial" w:hAnsi="Arial" w:cs="Arial"/>
          <w:sz w:val="21"/>
          <w:szCs w:val="21"/>
          <w:lang w:eastAsia="pt-BR"/>
        </w:rPr>
      </w:pPr>
    </w:p>
    <w:p>
      <w:pPr>
        <w:pStyle w:val="93"/>
        <w:widowControl/>
        <w:numPr>
          <w:ilvl w:val="0"/>
          <w:numId w:val="2"/>
        </w:numPr>
        <w:spacing w:before="120" w:after="120"/>
        <w:rPr>
          <w:rFonts w:ascii="Arial" w:hAnsi="Arial" w:cs="Arial"/>
          <w:b/>
          <w:sz w:val="21"/>
          <w:szCs w:val="21"/>
        </w:rPr>
      </w:pPr>
      <w:r>
        <w:rPr>
          <w:rFonts w:ascii="Arial" w:hAnsi="Arial" w:cs="Arial"/>
          <w:b/>
          <w:sz w:val="21"/>
          <w:szCs w:val="21"/>
        </w:rPr>
        <w:t>DAS DISPOSIÇÕES GERAIS</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Da sessão pública do Pregão divulgar-se-á Ata no sistema eletrônico.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Todas as referências de tempo no Edital, no aviso e durante a sessão pública observarão o horário de Brasília – DF.</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 A homologação do resultado desta licitação não implicará direito à contratação.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Os licitantes assumem todos os custos de preparação e apresentação de suas propostas e a Administração não será, em nenhum caso, responsável por esses custos, independentemente da condução ou do resultado do processo licitatório.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Na contagem dos prazos estabelecidos neste Edital e seus Anexos, excluir-se-á o dia do início e incluir-se-á o do vencimento. Só se iniciam e vencem os prazos em dias de expediente na Administração.</w:t>
      </w:r>
    </w:p>
    <w:p>
      <w:pPr>
        <w:pStyle w:val="93"/>
        <w:widowControl/>
        <w:numPr>
          <w:ilvl w:val="1"/>
          <w:numId w:val="2"/>
        </w:numPr>
        <w:spacing w:before="120" w:after="120"/>
        <w:ind w:left="708" w:firstLine="0"/>
        <w:rPr>
          <w:rFonts w:ascii="Arial" w:hAnsi="Arial" w:cs="Arial"/>
          <w:sz w:val="21"/>
          <w:szCs w:val="21"/>
          <w:lang w:eastAsia="pt-BR"/>
        </w:rPr>
      </w:pPr>
      <w:r>
        <w:rPr>
          <w:rFonts w:ascii="Arial" w:hAnsi="Arial" w:cs="Arial"/>
          <w:sz w:val="21"/>
          <w:szCs w:val="21"/>
          <w:lang w:eastAsia="pt-BR"/>
        </w:rPr>
        <w:t>O desatendimento de exigências formais não essenciais não importará o afastamento do licitante, desde que seja possível o aproveitamento do ato, observados os princípios da isonomia e do interesse público.</w:t>
      </w:r>
    </w:p>
    <w:p>
      <w:pPr>
        <w:pStyle w:val="93"/>
        <w:widowControl/>
        <w:numPr>
          <w:ilvl w:val="1"/>
          <w:numId w:val="2"/>
        </w:numPr>
        <w:spacing w:before="120" w:after="120"/>
        <w:ind w:left="708" w:firstLine="0"/>
        <w:rPr>
          <w:rFonts w:ascii="Arial" w:hAnsi="Arial" w:cs="Arial"/>
          <w:color w:val="000000"/>
          <w:sz w:val="21"/>
          <w:szCs w:val="21"/>
        </w:rPr>
      </w:pPr>
      <w:r>
        <w:rPr>
          <w:rFonts w:ascii="Arial" w:hAnsi="Arial" w:cs="Arial"/>
          <w:sz w:val="21"/>
          <w:szCs w:val="21"/>
          <w:lang w:eastAsia="pt-BR"/>
        </w:rPr>
        <w:t>Em caso de divergência entre disposições deste Edital e de seus anexos ou demais peças que compõem o processo, prevalecerá as deste Edital.</w:t>
      </w:r>
    </w:p>
    <w:p>
      <w:pPr>
        <w:pStyle w:val="93"/>
        <w:widowControl/>
        <w:numPr>
          <w:ilvl w:val="1"/>
          <w:numId w:val="2"/>
        </w:numPr>
        <w:spacing w:before="120" w:after="120"/>
        <w:ind w:left="708" w:firstLine="0"/>
        <w:rPr>
          <w:rFonts w:ascii="Arial" w:hAnsi="Arial" w:cs="Arial"/>
          <w:color w:val="000000"/>
          <w:sz w:val="21"/>
          <w:szCs w:val="21"/>
        </w:rPr>
      </w:pPr>
      <w:r>
        <w:rPr>
          <w:rFonts w:ascii="Arial" w:hAnsi="Arial" w:cs="Arial"/>
          <w:color w:val="000000"/>
          <w:sz w:val="21"/>
          <w:szCs w:val="21"/>
        </w:rPr>
        <w:t xml:space="preserve">O Edital está disponibilizado, na íntegra, no endereço eletrônico </w:t>
      </w:r>
      <w:r>
        <w:fldChar w:fldCharType="begin"/>
      </w:r>
      <w:r>
        <w:instrText xml:space="preserve"> HYPERLINK "http://www.comprasgovernamentais.gov.br" </w:instrText>
      </w:r>
      <w:r>
        <w:fldChar w:fldCharType="separate"/>
      </w:r>
      <w:r>
        <w:rPr>
          <w:rStyle w:val="10"/>
          <w:rFonts w:ascii="Arial" w:hAnsi="Arial" w:cs="Arial"/>
          <w:sz w:val="21"/>
          <w:szCs w:val="21"/>
        </w:rPr>
        <w:t>http://www.comprasgovernamentais.gov.br</w:t>
      </w:r>
      <w:r>
        <w:rPr>
          <w:rStyle w:val="10"/>
          <w:rFonts w:ascii="Arial" w:hAnsi="Arial" w:cs="Arial"/>
          <w:sz w:val="21"/>
          <w:szCs w:val="21"/>
        </w:rPr>
        <w:fldChar w:fldCharType="end"/>
      </w:r>
      <w:r>
        <w:rPr>
          <w:rFonts w:ascii="Arial" w:hAnsi="Arial" w:cs="Arial"/>
          <w:color w:val="000000"/>
          <w:sz w:val="21"/>
          <w:szCs w:val="21"/>
        </w:rPr>
        <w:t xml:space="preserve"> e </w:t>
      </w:r>
      <w:r>
        <w:fldChar w:fldCharType="begin"/>
      </w:r>
      <w:r>
        <w:instrText xml:space="preserve"> HYPERLINK "http://www.ifpb.edu.br/transparencia/licitacoes" </w:instrText>
      </w:r>
      <w:r>
        <w:fldChar w:fldCharType="separate"/>
      </w:r>
      <w:r>
        <w:rPr>
          <w:rStyle w:val="10"/>
          <w:rFonts w:ascii="Arial" w:hAnsi="Arial" w:cs="Arial"/>
          <w:sz w:val="21"/>
          <w:szCs w:val="21"/>
        </w:rPr>
        <w:t>http://www.ifpb.edu.br/transparencia/licitacoes</w:t>
      </w:r>
      <w:r>
        <w:rPr>
          <w:rStyle w:val="10"/>
          <w:rFonts w:ascii="Arial" w:hAnsi="Arial" w:cs="Arial"/>
          <w:sz w:val="21"/>
          <w:szCs w:val="21"/>
        </w:rPr>
        <w:fldChar w:fldCharType="end"/>
      </w:r>
      <w:r>
        <w:rPr>
          <w:rFonts w:ascii="Arial" w:hAnsi="Arial" w:cs="Arial"/>
          <w:color w:val="000000"/>
          <w:sz w:val="21"/>
          <w:szCs w:val="21"/>
        </w:rPr>
        <w:t xml:space="preserve">, e também poderá ser lido e/ou obtido no endereço </w:t>
      </w:r>
      <w:r>
        <w:rPr>
          <w:rFonts w:ascii="Arial" w:hAnsi="Arial" w:cs="Arial"/>
          <w:b/>
          <w:bCs/>
          <w:i/>
          <w:iCs/>
          <w:color w:val="000000"/>
          <w:sz w:val="21"/>
          <w:szCs w:val="21"/>
        </w:rPr>
        <w:t>Av. Almirante Barroso, 1077 – Centro – CEP: 58.013-120 – João Pessoa/PB, nos dias úteis, no horário das 08:00 às 12:00 horas e das 14:00 às 18:00 horas</w:t>
      </w:r>
      <w:r>
        <w:rPr>
          <w:rFonts w:ascii="Arial" w:hAnsi="Arial" w:cs="Arial"/>
          <w:color w:val="000000"/>
          <w:sz w:val="21"/>
          <w:szCs w:val="21"/>
        </w:rPr>
        <w:t>, mesmo endereço e período no qual os autos do processo administrativo permanecerão com vista franqueada aos interessados.</w:t>
      </w:r>
    </w:p>
    <w:p>
      <w:pPr>
        <w:pStyle w:val="93"/>
        <w:widowControl/>
        <w:numPr>
          <w:ilvl w:val="1"/>
          <w:numId w:val="2"/>
        </w:numPr>
        <w:spacing w:before="120" w:after="120"/>
        <w:ind w:left="708" w:firstLine="0"/>
        <w:rPr>
          <w:rFonts w:ascii="Arial" w:hAnsi="Arial" w:cs="Arial"/>
          <w:color w:val="000000"/>
          <w:sz w:val="21"/>
          <w:szCs w:val="21"/>
        </w:rPr>
      </w:pPr>
      <w:r>
        <w:rPr>
          <w:rFonts w:ascii="Arial" w:hAnsi="Arial" w:cs="Arial"/>
          <w:color w:val="000000"/>
          <w:sz w:val="21"/>
          <w:szCs w:val="21"/>
        </w:rPr>
        <w:t>Integram este Edital, para todos os fins e efeitos, os seguintes anexos:</w:t>
      </w:r>
    </w:p>
    <w:p>
      <w:pPr>
        <w:pStyle w:val="93"/>
        <w:widowControl/>
        <w:numPr>
          <w:ilvl w:val="2"/>
          <w:numId w:val="2"/>
        </w:numPr>
        <w:spacing w:before="120" w:after="120"/>
        <w:ind w:left="1128" w:firstLine="0"/>
        <w:rPr>
          <w:rFonts w:ascii="Arial" w:hAnsi="Arial" w:cs="Arial"/>
          <w:color w:val="000000"/>
          <w:sz w:val="21"/>
          <w:szCs w:val="21"/>
        </w:rPr>
      </w:pPr>
      <w:r>
        <w:rPr>
          <w:rFonts w:ascii="Arial" w:hAnsi="Arial" w:cs="Arial"/>
          <w:color w:val="000000"/>
          <w:sz w:val="21"/>
          <w:szCs w:val="21"/>
        </w:rPr>
        <w:t>ANEXO I - Termo de Referência;</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II - Minuta de Ata de Registro de Preços;</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III - Minuta de Termo de Contrato;</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 xml:space="preserve">ANEXO IV - </w:t>
      </w:r>
      <w:r>
        <w:rPr>
          <w:rFonts w:hint="default" w:ascii="Arial" w:hAnsi="Arial"/>
          <w:color w:val="auto"/>
          <w:sz w:val="21"/>
          <w:szCs w:val="21"/>
        </w:rPr>
        <w:t xml:space="preserve">Modelo </w:t>
      </w:r>
      <w:r>
        <w:rPr>
          <w:rFonts w:hint="default" w:ascii="Arial" w:hAnsi="Arial"/>
          <w:color w:val="auto"/>
          <w:sz w:val="21"/>
          <w:szCs w:val="21"/>
          <w:lang w:val="pt-BR"/>
        </w:rPr>
        <w:t>d</w:t>
      </w:r>
      <w:r>
        <w:rPr>
          <w:rFonts w:hint="default" w:ascii="Arial" w:hAnsi="Arial"/>
          <w:color w:val="auto"/>
          <w:sz w:val="21"/>
          <w:szCs w:val="21"/>
        </w:rPr>
        <w:t xml:space="preserve">o Termo </w:t>
      </w:r>
      <w:r>
        <w:rPr>
          <w:rFonts w:hint="default" w:ascii="Arial" w:hAnsi="Arial"/>
          <w:color w:val="auto"/>
          <w:sz w:val="21"/>
          <w:szCs w:val="21"/>
          <w:lang w:val="pt-BR"/>
        </w:rPr>
        <w:t>d</w:t>
      </w:r>
      <w:r>
        <w:rPr>
          <w:rFonts w:hint="default" w:ascii="Arial" w:hAnsi="Arial"/>
          <w:color w:val="auto"/>
          <w:sz w:val="21"/>
          <w:szCs w:val="21"/>
        </w:rPr>
        <w:t xml:space="preserve">e Compromisso </w:t>
      </w:r>
      <w:r>
        <w:rPr>
          <w:rFonts w:hint="default" w:ascii="Arial" w:hAnsi="Arial"/>
          <w:color w:val="auto"/>
          <w:sz w:val="21"/>
          <w:szCs w:val="21"/>
          <w:lang w:val="pt-BR"/>
        </w:rPr>
        <w:t>d</w:t>
      </w:r>
      <w:r>
        <w:rPr>
          <w:rFonts w:hint="default" w:ascii="Arial" w:hAnsi="Arial"/>
          <w:color w:val="auto"/>
          <w:sz w:val="21"/>
          <w:szCs w:val="21"/>
        </w:rPr>
        <w:t xml:space="preserve">e Manutenção </w:t>
      </w:r>
      <w:r>
        <w:rPr>
          <w:rFonts w:hint="default" w:ascii="Arial" w:hAnsi="Arial"/>
          <w:color w:val="auto"/>
          <w:sz w:val="21"/>
          <w:szCs w:val="21"/>
          <w:lang w:val="pt-BR"/>
        </w:rPr>
        <w:t>d</w:t>
      </w:r>
      <w:r>
        <w:rPr>
          <w:rFonts w:hint="default" w:ascii="Arial" w:hAnsi="Arial"/>
          <w:color w:val="auto"/>
          <w:sz w:val="21"/>
          <w:szCs w:val="21"/>
        </w:rPr>
        <w:t xml:space="preserve">o Sigilo </w:t>
      </w:r>
      <w:r>
        <w:rPr>
          <w:rFonts w:hint="default" w:ascii="Arial" w:hAnsi="Arial"/>
          <w:color w:val="auto"/>
          <w:sz w:val="21"/>
          <w:szCs w:val="21"/>
          <w:lang w:val="pt-BR"/>
        </w:rPr>
        <w:t>e</w:t>
      </w:r>
      <w:r>
        <w:rPr>
          <w:rFonts w:hint="default" w:ascii="Arial" w:hAnsi="Arial"/>
          <w:color w:val="auto"/>
          <w:sz w:val="21"/>
          <w:szCs w:val="21"/>
        </w:rPr>
        <w:t xml:space="preserve"> </w:t>
      </w:r>
      <w:r>
        <w:rPr>
          <w:rFonts w:hint="default" w:ascii="Arial" w:hAnsi="Arial"/>
          <w:color w:val="auto"/>
          <w:sz w:val="21"/>
          <w:szCs w:val="21"/>
          <w:lang w:val="pt-BR"/>
        </w:rPr>
        <w:t>d</w:t>
      </w:r>
      <w:r>
        <w:rPr>
          <w:rFonts w:hint="default" w:ascii="Arial" w:hAnsi="Arial"/>
          <w:color w:val="auto"/>
          <w:sz w:val="21"/>
          <w:szCs w:val="21"/>
        </w:rPr>
        <w:t xml:space="preserve">o Termo </w:t>
      </w:r>
      <w:r>
        <w:rPr>
          <w:rFonts w:hint="default" w:ascii="Arial" w:hAnsi="Arial"/>
          <w:color w:val="auto"/>
          <w:sz w:val="21"/>
          <w:szCs w:val="21"/>
          <w:lang w:val="pt-BR"/>
        </w:rPr>
        <w:t>d</w:t>
      </w:r>
      <w:r>
        <w:rPr>
          <w:rFonts w:hint="default" w:ascii="Arial" w:hAnsi="Arial"/>
          <w:color w:val="auto"/>
          <w:sz w:val="21"/>
          <w:szCs w:val="21"/>
        </w:rPr>
        <w:t>e Ciência</w:t>
      </w:r>
      <w:r>
        <w:rPr>
          <w:rFonts w:ascii="Arial" w:hAnsi="Arial" w:cs="Arial"/>
          <w:color w:val="auto"/>
          <w:sz w:val="21"/>
          <w:szCs w:val="21"/>
        </w:rPr>
        <w:t>;</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V - Declaração de Vistoria;</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VI - Declaração de Dispensa de Vistoria;</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VII - Instrumento de Medição de Resultado - IMR;</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s="Arial"/>
          <w:color w:val="auto"/>
          <w:sz w:val="21"/>
          <w:szCs w:val="21"/>
        </w:rPr>
        <w:t>ANEXO VIII - Declaração de Responsabilidade Ambiental;</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olor w:val="auto"/>
          <w:sz w:val="21"/>
          <w:szCs w:val="21"/>
        </w:rPr>
        <w:t>ANEXO IX - Planilhas Cenários de Compensação Semestral para Outsourcing de Impressão;</w:t>
      </w:r>
    </w:p>
    <w:p>
      <w:pPr>
        <w:pStyle w:val="93"/>
        <w:widowControl/>
        <w:numPr>
          <w:ilvl w:val="2"/>
          <w:numId w:val="2"/>
        </w:numPr>
        <w:spacing w:before="120" w:after="120"/>
        <w:ind w:left="1128" w:firstLine="0"/>
        <w:rPr>
          <w:rFonts w:ascii="Arial" w:hAnsi="Arial" w:cs="Arial"/>
          <w:color w:val="auto"/>
          <w:sz w:val="21"/>
          <w:szCs w:val="21"/>
        </w:rPr>
      </w:pPr>
      <w:r>
        <w:rPr>
          <w:rFonts w:ascii="Arial" w:hAnsi="Arial"/>
          <w:color w:val="auto"/>
          <w:sz w:val="21"/>
          <w:szCs w:val="21"/>
        </w:rPr>
        <w:t>ANEXO X - Modelo de Proposta de Preços</w:t>
      </w:r>
    </w:p>
    <w:p>
      <w:pPr>
        <w:spacing w:before="120" w:after="120"/>
        <w:jc w:val="both"/>
        <w:rPr>
          <w:rFonts w:cs="Arial"/>
          <w:color w:val="000000"/>
          <w:sz w:val="21"/>
          <w:szCs w:val="21"/>
        </w:rPr>
      </w:pPr>
    </w:p>
    <w:p>
      <w:pPr>
        <w:tabs>
          <w:tab w:val="left" w:pos="1440"/>
        </w:tabs>
        <w:autoSpaceDE w:val="0"/>
        <w:snapToGrid w:val="0"/>
        <w:spacing w:before="120" w:after="120"/>
        <w:ind w:left="1134"/>
        <w:jc w:val="right"/>
        <w:rPr>
          <w:iCs/>
          <w:sz w:val="21"/>
          <w:szCs w:val="21"/>
        </w:rPr>
      </w:pPr>
      <w:r>
        <w:rPr>
          <w:iCs/>
          <w:sz w:val="21"/>
          <w:szCs w:val="21"/>
        </w:rPr>
        <w:t xml:space="preserve">João Pessoa - PB, </w:t>
      </w:r>
      <w:r>
        <w:rPr>
          <w:rFonts w:hint="default"/>
          <w:iCs/>
          <w:sz w:val="21"/>
          <w:szCs w:val="21"/>
          <w:lang w:val="pt-BR"/>
        </w:rPr>
        <w:t>27</w:t>
      </w:r>
      <w:r>
        <w:rPr>
          <w:iCs/>
          <w:sz w:val="21"/>
          <w:szCs w:val="21"/>
        </w:rPr>
        <w:t xml:space="preserve"> de maio de 2020.</w:t>
      </w:r>
    </w:p>
    <w:p>
      <w:pPr>
        <w:tabs>
          <w:tab w:val="left" w:pos="1440"/>
        </w:tabs>
        <w:autoSpaceDE w:val="0"/>
        <w:snapToGrid w:val="0"/>
        <w:spacing w:before="120" w:after="120"/>
        <w:ind w:left="1134"/>
        <w:jc w:val="both"/>
        <w:rPr>
          <w:iCs/>
          <w:sz w:val="21"/>
          <w:szCs w:val="21"/>
        </w:rPr>
      </w:pPr>
    </w:p>
    <w:p>
      <w:pPr>
        <w:tabs>
          <w:tab w:val="left" w:pos="1440"/>
        </w:tabs>
        <w:autoSpaceDE w:val="0"/>
        <w:snapToGrid w:val="0"/>
        <w:spacing w:before="120" w:after="120"/>
        <w:ind w:left="1134"/>
        <w:jc w:val="both"/>
        <w:rPr>
          <w:iCs/>
          <w:sz w:val="21"/>
          <w:szCs w:val="21"/>
        </w:rPr>
      </w:pPr>
    </w:p>
    <w:p>
      <w:pPr>
        <w:tabs>
          <w:tab w:val="left" w:pos="1440"/>
        </w:tabs>
        <w:autoSpaceDE w:val="0"/>
        <w:snapToGrid w:val="0"/>
        <w:spacing w:before="120" w:after="120"/>
        <w:ind w:left="1134"/>
        <w:jc w:val="both"/>
        <w:rPr>
          <w:iCs/>
          <w:sz w:val="21"/>
          <w:szCs w:val="21"/>
        </w:rPr>
      </w:pPr>
    </w:p>
    <w:p>
      <w:pPr>
        <w:tabs>
          <w:tab w:val="left" w:pos="1440"/>
        </w:tabs>
        <w:autoSpaceDE w:val="0"/>
        <w:snapToGrid w:val="0"/>
        <w:spacing w:before="120" w:after="120"/>
        <w:jc w:val="center"/>
        <w:rPr>
          <w:b/>
          <w:bCs/>
          <w:iCs/>
          <w:sz w:val="21"/>
          <w:szCs w:val="21"/>
        </w:rPr>
      </w:pPr>
      <w:r>
        <w:rPr>
          <w:b/>
          <w:bCs/>
          <w:iCs/>
          <w:sz w:val="21"/>
          <w:szCs w:val="21"/>
        </w:rPr>
        <w:t>CARLOS DIEGO DOS SANTOS CARVALHO</w:t>
      </w:r>
    </w:p>
    <w:p>
      <w:pPr>
        <w:tabs>
          <w:tab w:val="left" w:pos="1440"/>
        </w:tabs>
        <w:autoSpaceDE w:val="0"/>
        <w:snapToGrid w:val="0"/>
        <w:spacing w:before="120" w:after="120"/>
        <w:jc w:val="center"/>
        <w:rPr>
          <w:rFonts w:cs="Arial"/>
          <w:iCs/>
          <w:sz w:val="21"/>
          <w:szCs w:val="21"/>
        </w:rPr>
      </w:pPr>
      <w:r>
        <w:rPr>
          <w:iCs/>
          <w:sz w:val="21"/>
          <w:szCs w:val="21"/>
        </w:rPr>
        <w:t>Diretoria de Compras, Contratos e Licitações</w:t>
      </w:r>
    </w:p>
    <w:p>
      <w:pPr>
        <w:spacing w:before="120" w:after="120"/>
        <w:jc w:val="both"/>
        <w:rPr>
          <w:sz w:val="21"/>
          <w:szCs w:val="21"/>
        </w:rPr>
      </w:pPr>
    </w:p>
    <w:sectPr>
      <w:headerReference r:id="rId3" w:type="default"/>
      <w:footerReference r:id="rId4" w:type="default"/>
      <w:pgSz w:w="11906" w:h="16838"/>
      <w:pgMar w:top="1418" w:right="1134" w:bottom="1418" w:left="1701" w:header="709" w:footer="709" w:gutter="0"/>
      <w:cols w:space="720" w:num="1"/>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Ecofont_Spranq_eco_Sans">
    <w:altName w:val="Segoe Print"/>
    <w:panose1 w:val="00000000000000000000"/>
    <w:charset w:val="00"/>
    <w:family w:val="swiss"/>
    <w:pitch w:val="default"/>
    <w:sig w:usb0="00000000" w:usb1="00000000" w:usb2="00000000" w:usb3="00000000" w:csb0="00000001" w:csb1="00000000"/>
  </w:font>
  <w:font w:name="Segoe UI">
    <w:panose1 w:val="020B0502040204020203"/>
    <w:charset w:val="00"/>
    <w:family w:val="swiss"/>
    <w:pitch w:val="default"/>
    <w:sig w:usb0="E10022FF" w:usb1="C000E47F" w:usb2="00000029" w:usb3="00000000" w:csb0="200001DF" w:csb1="20000000"/>
  </w:font>
  <w:font w:name="Cambria">
    <w:panose1 w:val="02040503050406030204"/>
    <w:charset w:val="00"/>
    <w:family w:val="roman"/>
    <w:pitch w:val="default"/>
    <w:sig w:usb0="E00002FF" w:usb1="400004FF" w:usb2="00000000" w:usb3="00000000" w:csb0="2000019F" w:csb1="00000000"/>
  </w:font>
  <w:font w:name="font292">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80F3C52" w:usb2="00000016" w:usb3="00000000" w:csb0="0004001F" w:csb1="00000000"/>
  </w:font>
  <w:font w:name="Mangal">
    <w:panose1 w:val="02040503050203030202"/>
    <w:charset w:val="00"/>
    <w:family w:val="roman"/>
    <w:pitch w:val="default"/>
    <w:sig w:usb0="00008003" w:usb1="00000000" w:usb2="00000000" w:usb3="00000000" w:csb0="00000001"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Zurich BT">
    <w:altName w:val="Segoe Print"/>
    <w:panose1 w:val="00000000000000000000"/>
    <w:charset w:val="00"/>
    <w:family w:val="auto"/>
    <w:pitch w:val="default"/>
    <w:sig w:usb0="00000000" w:usb1="00000000" w:usb2="00000000" w:usb3="00000000" w:csb0="00000000" w:csb1="00000000"/>
  </w:font>
  <w:font w:name="Carlito">
    <w:panose1 w:val="020F0502020204030204"/>
    <w:charset w:val="00"/>
    <w:family w:val="swiss"/>
    <w:pitch w:val="default"/>
    <w:sig w:usb0="E10002FF" w:usb1="5000ECFF"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pBdr>
        <w:bottom w:val="single" w:color="00000A" w:sz="6" w:space="1"/>
      </w:pBdr>
      <w:spacing w:after="0" w:line="240" w:lineRule="auto"/>
      <w:rPr>
        <w:rFonts w:cs="Arial"/>
        <w:sz w:val="12"/>
        <w:szCs w:val="12"/>
      </w:rPr>
    </w:pPr>
  </w:p>
  <w:p>
    <w:pPr>
      <w:pStyle w:val="76"/>
      <w:spacing w:after="0" w:line="240" w:lineRule="auto"/>
      <w:jc w:val="both"/>
    </w:pPr>
    <w:r>
      <w:rPr>
        <w:rFonts w:ascii="Carlito" w:hAnsi="Carlito" w:cs="Carlito"/>
        <w:b/>
        <w:sz w:val="16"/>
        <w:szCs w:val="16"/>
        <w:shd w:val="clear" w:color="auto" w:fill="FFFFFF"/>
      </w:rPr>
      <w:t>Diretoria de Compras, Contratos e Licitações</w:t>
    </w:r>
  </w:p>
  <w:p>
    <w:pPr>
      <w:pStyle w:val="76"/>
      <w:spacing w:after="0" w:line="240" w:lineRule="auto"/>
      <w:jc w:val="both"/>
    </w:pPr>
    <w:r>
      <w:rPr>
        <w:rFonts w:ascii="Carlito" w:hAnsi="Carlito" w:cs="Carlito"/>
        <w:sz w:val="16"/>
        <w:szCs w:val="16"/>
        <w:shd w:val="clear" w:color="auto" w:fill="FFFFFF"/>
      </w:rPr>
      <w:t>Av. Almirante Barroso, 1077, Centro, João Pessoa/PB, CEP: 58.013-120</w:t>
    </w:r>
  </w:p>
  <w:p>
    <w:pPr>
      <w:pStyle w:val="76"/>
      <w:spacing w:after="0" w:line="240" w:lineRule="auto"/>
      <w:jc w:val="both"/>
    </w:pPr>
    <w:r>
      <w:rPr>
        <w:rFonts w:ascii="Carlito" w:hAnsi="Carlito" w:cs="Carlito"/>
        <w:sz w:val="16"/>
        <w:szCs w:val="16"/>
        <w:shd w:val="clear" w:color="auto"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keepNext/>
      <w:overflowPunct w:val="0"/>
      <w:spacing w:after="0" w:line="240" w:lineRule="auto"/>
      <w:jc w:val="center"/>
      <w:rPr>
        <w:rFonts w:cs="Arial"/>
        <w:sz w:val="21"/>
        <w:szCs w:val="21"/>
      </w:rPr>
    </w:pPr>
    <w:r>
      <w:rPr>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keepNext/>
      <w:overflowPunct w:val="0"/>
      <w:spacing w:after="0" w:line="240" w:lineRule="auto"/>
      <w:jc w:val="center"/>
      <w:rPr>
        <w:rFonts w:cs="Arial"/>
        <w:sz w:val="21"/>
        <w:szCs w:val="21"/>
      </w:rPr>
    </w:pPr>
    <w:r>
      <w:rPr>
        <w:rFonts w:cs="Arial"/>
        <w:bCs/>
        <w:sz w:val="21"/>
        <w:szCs w:val="21"/>
      </w:rPr>
      <w:t>Secretaria de Educação Profissional e Tecnológica</w:t>
    </w:r>
  </w:p>
  <w:p>
    <w:pPr>
      <w:keepNext/>
      <w:overflowPunct w:val="0"/>
      <w:spacing w:after="0" w:line="240" w:lineRule="auto"/>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spacing w:after="0" w:line="240" w:lineRule="auto"/>
      <w:jc w:val="center"/>
      <w:rPr>
        <w:rFonts w:cs="Arial"/>
        <w:sz w:val="21"/>
        <w:szCs w:val="21"/>
      </w:rPr>
    </w:pPr>
    <w:r>
      <w:rPr>
        <w:rFonts w:cs="Arial"/>
        <w:bCs/>
        <w:sz w:val="21"/>
        <w:szCs w:val="21"/>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7"/>
      <w:numFmt w:val="decimal"/>
      <w:lvlText w:val="%1"/>
      <w:lvlJc w:val="left"/>
      <w:pPr>
        <w:ind w:left="720" w:hanging="360"/>
      </w:pPr>
    </w:lvl>
    <w:lvl w:ilvl="1" w:tentative="0">
      <w:start w:val="9"/>
      <w:numFmt w:val="decimal"/>
      <w:lvlText w:val="%1.%2."/>
      <w:lvlJc w:val="left"/>
      <w:pPr>
        <w:ind w:left="785" w:hanging="360"/>
      </w:pPr>
      <w:rPr>
        <w:rFonts w:ascii="Arial" w:hAnsi="Arial"/>
        <w:b/>
        <w:color w:val="00000A"/>
        <w:sz w:val="21"/>
      </w:rPr>
    </w:lvl>
    <w:lvl w:ilvl="2" w:tentative="0">
      <w:start w:val="1"/>
      <w:numFmt w:val="decimal"/>
      <w:lvlText w:val="%1.%2.%3."/>
      <w:lvlJc w:val="left"/>
      <w:pPr>
        <w:ind w:left="1210" w:hanging="720"/>
      </w:pPr>
      <w:rPr>
        <w:rFonts w:ascii="Arial" w:hAnsi="Arial"/>
        <w:b/>
        <w:color w:val="00000A"/>
        <w:sz w:val="21"/>
      </w:rPr>
    </w:lvl>
    <w:lvl w:ilvl="3" w:tentative="0">
      <w:start w:val="1"/>
      <w:numFmt w:val="decimal"/>
      <w:lvlText w:val="%1.%2.%3.%4."/>
      <w:lvlJc w:val="left"/>
      <w:pPr>
        <w:ind w:left="1275" w:hanging="720"/>
      </w:pPr>
      <w:rPr>
        <w:rFonts w:ascii="Arial" w:hAnsi="Arial"/>
        <w:b/>
        <w:color w:val="00000A"/>
        <w:sz w:val="21"/>
      </w:rPr>
    </w:lvl>
    <w:lvl w:ilvl="4" w:tentative="0">
      <w:start w:val="1"/>
      <w:numFmt w:val="decimal"/>
      <w:lvlText w:val="%1.%2.%3.%4.%5."/>
      <w:lvlJc w:val="left"/>
      <w:pPr>
        <w:ind w:left="1700" w:hanging="1080"/>
      </w:pPr>
      <w:rPr>
        <w:rFonts w:ascii="Arial" w:hAnsi="Arial"/>
        <w:b/>
        <w:color w:val="00000A"/>
        <w:sz w:val="21"/>
      </w:rPr>
    </w:lvl>
    <w:lvl w:ilvl="5" w:tentative="0">
      <w:start w:val="1"/>
      <w:numFmt w:val="decimal"/>
      <w:lvlText w:val="%1.%2.%3.%4.%5.%6."/>
      <w:lvlJc w:val="left"/>
      <w:pPr>
        <w:ind w:left="1765" w:hanging="1080"/>
      </w:pPr>
      <w:rPr>
        <w:rFonts w:ascii="Arial" w:hAnsi="Arial"/>
        <w:b/>
        <w:color w:val="00000A"/>
        <w:sz w:val="21"/>
      </w:rPr>
    </w:lvl>
    <w:lvl w:ilvl="6" w:tentative="0">
      <w:start w:val="1"/>
      <w:numFmt w:val="decimal"/>
      <w:lvlText w:val="%1.%2.%3.%4.%5.%6.%7."/>
      <w:lvlJc w:val="left"/>
      <w:pPr>
        <w:ind w:left="2190" w:hanging="1440"/>
      </w:pPr>
      <w:rPr>
        <w:rFonts w:ascii="Arial" w:hAnsi="Arial"/>
        <w:b/>
        <w:color w:val="00000A"/>
        <w:sz w:val="21"/>
      </w:rPr>
    </w:lvl>
    <w:lvl w:ilvl="7" w:tentative="0">
      <w:start w:val="1"/>
      <w:numFmt w:val="decimal"/>
      <w:lvlText w:val="%1.%2.%3.%4.%5.%6.%7.%8."/>
      <w:lvlJc w:val="left"/>
      <w:pPr>
        <w:ind w:left="2255" w:hanging="1440"/>
      </w:pPr>
      <w:rPr>
        <w:rFonts w:ascii="Arial" w:hAnsi="Arial"/>
        <w:b/>
        <w:color w:val="00000A"/>
        <w:sz w:val="21"/>
      </w:rPr>
    </w:lvl>
    <w:lvl w:ilvl="8" w:tentative="0">
      <w:start w:val="1"/>
      <w:numFmt w:val="decimal"/>
      <w:lvlText w:val="%1.%2.%3.%4.%5.%6.%7.%8.%9."/>
      <w:lvlJc w:val="left"/>
      <w:pPr>
        <w:ind w:left="2680" w:hanging="1800"/>
      </w:pPr>
      <w:rPr>
        <w:rFonts w:ascii="Arial" w:hAnsi="Arial"/>
        <w:b/>
        <w:color w:val="00000A"/>
        <w:sz w:val="21"/>
      </w:rPr>
    </w:lvl>
  </w:abstractNum>
  <w:abstractNum w:abstractNumId="1">
    <w:nsid w:val="9A4B5B7F"/>
    <w:multiLevelType w:val="singleLevel"/>
    <w:tmpl w:val="9A4B5B7F"/>
    <w:lvl w:ilvl="0" w:tentative="0">
      <w:start w:val="1"/>
      <w:numFmt w:val="lowerLetter"/>
      <w:lvlText w:val="%1."/>
      <w:lvlJc w:val="left"/>
      <w:pPr>
        <w:tabs>
          <w:tab w:val="left" w:pos="425"/>
        </w:tabs>
        <w:ind w:left="425" w:hanging="425"/>
      </w:pPr>
      <w:rPr>
        <w:rFonts w:hint="default"/>
      </w:rPr>
    </w:lvl>
  </w:abstractNum>
  <w:abstractNum w:abstractNumId="2">
    <w:nsid w:val="B5E306ED"/>
    <w:multiLevelType w:val="multilevel"/>
    <w:tmpl w:val="B5E306ED"/>
    <w:lvl w:ilvl="0" w:tentative="0">
      <w:start w:val="4"/>
      <w:numFmt w:val="decimal"/>
      <w:lvlText w:val="%1"/>
      <w:lvlJc w:val="left"/>
      <w:pPr>
        <w:ind w:left="405" w:hanging="405"/>
      </w:pPr>
    </w:lvl>
    <w:lvl w:ilvl="1" w:tentative="0">
      <w:start w:val="1"/>
      <w:numFmt w:val="decimal"/>
      <w:lvlText w:val="%1.%2"/>
      <w:lvlJc w:val="left"/>
      <w:pPr>
        <w:ind w:left="1114" w:hanging="405"/>
      </w:pPr>
      <w:rPr>
        <w:rFonts w:ascii="Arial" w:hAnsi="Arial"/>
        <w:b w:val="0"/>
        <w:sz w:val="21"/>
      </w:rPr>
    </w:lvl>
    <w:lvl w:ilvl="2" w:tentative="0">
      <w:start w:val="1"/>
      <w:numFmt w:val="decimal"/>
      <w:lvlText w:val="%1.%2.%3"/>
      <w:lvlJc w:val="left"/>
      <w:pPr>
        <w:ind w:left="2216" w:hanging="720"/>
      </w:pPr>
      <w:rPr>
        <w:rFonts w:ascii="Arial" w:hAnsi="Arial" w:cs="Arial"/>
        <w:b w:val="0"/>
        <w:color w:val="00000A"/>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3">
    <w:nsid w:val="BF205925"/>
    <w:multiLevelType w:val="multilevel"/>
    <w:tmpl w:val="BF205925"/>
    <w:lvl w:ilvl="0" w:tentative="0">
      <w:start w:val="3"/>
      <w:numFmt w:val="decimal"/>
      <w:lvlText w:val="%1"/>
      <w:lvlJc w:val="left"/>
      <w:pPr>
        <w:ind w:left="405" w:hanging="405"/>
      </w:pPr>
    </w:lvl>
    <w:lvl w:ilvl="1" w:tentative="0">
      <w:start w:val="1"/>
      <w:numFmt w:val="decimal"/>
      <w:lvlText w:val="%1.%2"/>
      <w:lvlJc w:val="left"/>
      <w:pPr>
        <w:ind w:left="1114" w:hanging="405"/>
      </w:pPr>
      <w:rPr>
        <w:rFonts w:ascii="Arial" w:hAnsi="Arial"/>
        <w:b w:val="0"/>
        <w:sz w:val="21"/>
      </w:rPr>
    </w:lvl>
    <w:lvl w:ilvl="2" w:tentative="0">
      <w:start w:val="1"/>
      <w:numFmt w:val="decimal"/>
      <w:lvlText w:val="%1.%2.%3"/>
      <w:lvlJc w:val="left"/>
      <w:pPr>
        <w:ind w:left="2216" w:hanging="720"/>
      </w:pPr>
      <w:rPr>
        <w:rFonts w:ascii="Arial" w:hAnsi="Arial" w:cs="Arial"/>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4">
    <w:nsid w:val="C8879AEF"/>
    <w:multiLevelType w:val="multilevel"/>
    <w:tmpl w:val="C8879AEF"/>
    <w:lvl w:ilvl="0" w:tentative="0">
      <w:start w:val="9"/>
      <w:numFmt w:val="decimal"/>
      <w:lvlText w:val="%1."/>
      <w:lvlJc w:val="left"/>
      <w:pPr>
        <w:ind w:left="360" w:hanging="360"/>
      </w:pPr>
    </w:lvl>
    <w:lvl w:ilvl="1" w:tentative="0">
      <w:start w:val="1"/>
      <w:numFmt w:val="decimal"/>
      <w:lvlText w:val="%1.%2."/>
      <w:lvlJc w:val="left"/>
      <w:pPr>
        <w:ind w:left="1287" w:hanging="360"/>
      </w:pPr>
      <w:rPr>
        <w:rFonts w:ascii="Arial" w:hAnsi="Arial"/>
        <w:b/>
        <w:i/>
        <w:color w:val="00000A"/>
        <w:sz w:val="21"/>
      </w:rPr>
    </w:lvl>
    <w:lvl w:ilvl="2" w:tentative="0">
      <w:start w:val="1"/>
      <w:numFmt w:val="decimal"/>
      <w:lvlText w:val="%1.%2.%3."/>
      <w:lvlJc w:val="left"/>
      <w:pPr>
        <w:ind w:left="2574" w:hanging="720"/>
      </w:pPr>
    </w:lvl>
    <w:lvl w:ilvl="3" w:tentative="0">
      <w:start w:val="1"/>
      <w:numFmt w:val="decimal"/>
      <w:lvlText w:val="%1.%2.%3.%4."/>
      <w:lvlJc w:val="left"/>
      <w:pPr>
        <w:ind w:left="3501" w:hanging="720"/>
      </w:pPr>
    </w:lvl>
    <w:lvl w:ilvl="4" w:tentative="0">
      <w:start w:val="1"/>
      <w:numFmt w:val="decimal"/>
      <w:lvlText w:val="%1.%2.%3.%4.%5."/>
      <w:lvlJc w:val="left"/>
      <w:pPr>
        <w:ind w:left="4788" w:hanging="1080"/>
      </w:pPr>
    </w:lvl>
    <w:lvl w:ilvl="5" w:tentative="0">
      <w:start w:val="1"/>
      <w:numFmt w:val="decimal"/>
      <w:lvlText w:val="%1.%2.%3.%4.%5.%6."/>
      <w:lvlJc w:val="left"/>
      <w:pPr>
        <w:ind w:left="5715" w:hanging="1080"/>
      </w:pPr>
    </w:lvl>
    <w:lvl w:ilvl="6" w:tentative="0">
      <w:start w:val="1"/>
      <w:numFmt w:val="decimal"/>
      <w:lvlText w:val="%1.%2.%3.%4.%5.%6.%7."/>
      <w:lvlJc w:val="left"/>
      <w:pPr>
        <w:ind w:left="7002" w:hanging="1440"/>
      </w:pPr>
    </w:lvl>
    <w:lvl w:ilvl="7" w:tentative="0">
      <w:start w:val="1"/>
      <w:numFmt w:val="decimal"/>
      <w:lvlText w:val="%1.%2.%3.%4.%5.%6.%7.%8."/>
      <w:lvlJc w:val="left"/>
      <w:pPr>
        <w:ind w:left="7929" w:hanging="1440"/>
      </w:pPr>
    </w:lvl>
    <w:lvl w:ilvl="8" w:tentative="0">
      <w:start w:val="1"/>
      <w:numFmt w:val="decimal"/>
      <w:lvlText w:val="%1.%2.%3.%4.%5.%6.%7.%8.%9."/>
      <w:lvlJc w:val="left"/>
      <w:pPr>
        <w:ind w:left="9216" w:hanging="1800"/>
      </w:pPr>
    </w:lvl>
  </w:abstractNum>
  <w:abstractNum w:abstractNumId="5">
    <w:nsid w:val="CF092B84"/>
    <w:multiLevelType w:val="multilevel"/>
    <w:tmpl w:val="CF092B84"/>
    <w:lvl w:ilvl="0" w:tentative="0">
      <w:start w:val="1"/>
      <w:numFmt w:val="decimal"/>
      <w:lvlText w:val="%1"/>
      <w:lvlJc w:val="left"/>
      <w:pPr>
        <w:ind w:left="405" w:hanging="405"/>
      </w:pPr>
    </w:lvl>
    <w:lvl w:ilvl="1" w:tentative="0">
      <w:start w:val="1"/>
      <w:numFmt w:val="decimal"/>
      <w:lvlText w:val="%1.%2"/>
      <w:lvlJc w:val="left"/>
      <w:pPr>
        <w:ind w:left="1114" w:hanging="405"/>
      </w:pPr>
    </w:lvl>
    <w:lvl w:ilvl="2" w:tentative="0">
      <w:start w:val="1"/>
      <w:numFmt w:val="decimal"/>
      <w:lvlText w:val="%1.%2.%3"/>
      <w:lvlJc w:val="left"/>
      <w:pPr>
        <w:ind w:left="2216" w:hanging="720"/>
      </w:pPr>
      <w:rPr>
        <w:rFonts w:ascii="Arial" w:hAnsi="Arial" w:cs="Arial"/>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6">
    <w:nsid w:val="0053208E"/>
    <w:multiLevelType w:val="multilevel"/>
    <w:tmpl w:val="0053208E"/>
    <w:lvl w:ilvl="0" w:tentative="0">
      <w:start w:val="1"/>
      <w:numFmt w:val="decimal"/>
      <w:pStyle w:val="13"/>
      <w:lvlText w:val="%1."/>
      <w:lvlJc w:val="left"/>
      <w:pPr>
        <w:ind w:left="502" w:hanging="360"/>
      </w:pPr>
      <w:rPr>
        <w:b/>
        <w:i w:val="0"/>
        <w:dstrike/>
      </w:rPr>
    </w:lvl>
    <w:lvl w:ilvl="1" w:tentative="0">
      <w:start w:val="1"/>
      <w:numFmt w:val="none"/>
      <w:suff w:val="nothing"/>
      <w:lvlText w:val=""/>
      <w:lvlJc w:val="left"/>
      <w:pPr>
        <w:tabs>
          <w:tab w:val="left" w:pos="576"/>
        </w:tabs>
        <w:ind w:left="576" w:hanging="576"/>
      </w:pPr>
    </w:lvl>
    <w:lvl w:ilvl="2" w:tentative="0">
      <w:start w:val="1"/>
      <w:numFmt w:val="none"/>
      <w:suff w:val="nothing"/>
      <w:lvlText w:val=""/>
      <w:lvlJc w:val="left"/>
      <w:pPr>
        <w:tabs>
          <w:tab w:val="left" w:pos="720"/>
        </w:tabs>
        <w:ind w:left="720" w:hanging="720"/>
      </w:pPr>
    </w:lvl>
    <w:lvl w:ilvl="3" w:tentative="0">
      <w:start w:val="1"/>
      <w:numFmt w:val="none"/>
      <w:suff w:val="nothing"/>
      <w:lvlText w:val=""/>
      <w:lvlJc w:val="left"/>
      <w:pPr>
        <w:tabs>
          <w:tab w:val="left" w:pos="864"/>
        </w:tabs>
        <w:ind w:left="864" w:hanging="864"/>
      </w:pPr>
    </w:lvl>
    <w:lvl w:ilvl="4" w:tentative="0">
      <w:start w:val="1"/>
      <w:numFmt w:val="none"/>
      <w:suff w:val="nothing"/>
      <w:lvlText w:val=""/>
      <w:lvlJc w:val="left"/>
      <w:pPr>
        <w:tabs>
          <w:tab w:val="left" w:pos="1008"/>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abstractNum w:abstractNumId="7">
    <w:nsid w:val="0248C179"/>
    <w:multiLevelType w:val="multilevel"/>
    <w:tmpl w:val="0248C179"/>
    <w:lvl w:ilvl="0" w:tentative="0">
      <w:start w:val="7"/>
      <w:numFmt w:val="decimal"/>
      <w:lvlText w:val="%1"/>
      <w:lvlJc w:val="left"/>
      <w:pPr>
        <w:ind w:left="720" w:hanging="360"/>
      </w:pPr>
    </w:lvl>
    <w:lvl w:ilvl="1" w:tentative="0">
      <w:start w:val="1"/>
      <w:numFmt w:val="decimal"/>
      <w:lvlText w:val="%1.%2."/>
      <w:lvlJc w:val="left"/>
      <w:pPr>
        <w:ind w:left="785" w:hanging="360"/>
      </w:pPr>
      <w:rPr>
        <w:rFonts w:ascii="Arial" w:hAnsi="Arial"/>
        <w:b/>
        <w:color w:val="00000A"/>
        <w:sz w:val="21"/>
      </w:rPr>
    </w:lvl>
    <w:lvl w:ilvl="2" w:tentative="0">
      <w:start w:val="1"/>
      <w:numFmt w:val="decimal"/>
      <w:lvlText w:val="%1.%2.%3."/>
      <w:lvlJc w:val="left"/>
      <w:pPr>
        <w:ind w:left="1210" w:hanging="720"/>
      </w:pPr>
      <w:rPr>
        <w:rFonts w:ascii="Arial" w:hAnsi="Arial"/>
        <w:b/>
        <w:color w:val="00000A"/>
        <w:sz w:val="21"/>
      </w:rPr>
    </w:lvl>
    <w:lvl w:ilvl="3" w:tentative="0">
      <w:start w:val="1"/>
      <w:numFmt w:val="decimal"/>
      <w:lvlText w:val="%1.%2.%3.%4."/>
      <w:lvlJc w:val="left"/>
      <w:pPr>
        <w:ind w:left="1275" w:hanging="720"/>
      </w:pPr>
      <w:rPr>
        <w:rFonts w:ascii="Arial" w:hAnsi="Arial"/>
        <w:b/>
        <w:color w:val="00000A"/>
        <w:sz w:val="21"/>
      </w:rPr>
    </w:lvl>
    <w:lvl w:ilvl="4" w:tentative="0">
      <w:start w:val="1"/>
      <w:numFmt w:val="decimal"/>
      <w:lvlText w:val="%1.%2.%3.%4.%5."/>
      <w:lvlJc w:val="left"/>
      <w:pPr>
        <w:ind w:left="1700" w:hanging="1080"/>
      </w:pPr>
      <w:rPr>
        <w:rFonts w:ascii="Arial" w:hAnsi="Arial"/>
        <w:b/>
        <w:color w:val="00000A"/>
        <w:sz w:val="21"/>
      </w:rPr>
    </w:lvl>
    <w:lvl w:ilvl="5" w:tentative="0">
      <w:start w:val="1"/>
      <w:numFmt w:val="decimal"/>
      <w:lvlText w:val="%1.%2.%3.%4.%5.%6."/>
      <w:lvlJc w:val="left"/>
      <w:pPr>
        <w:ind w:left="1765" w:hanging="1080"/>
      </w:pPr>
      <w:rPr>
        <w:rFonts w:ascii="Arial" w:hAnsi="Arial"/>
        <w:b/>
        <w:color w:val="00000A"/>
        <w:sz w:val="21"/>
      </w:rPr>
    </w:lvl>
    <w:lvl w:ilvl="6" w:tentative="0">
      <w:start w:val="1"/>
      <w:numFmt w:val="decimal"/>
      <w:lvlText w:val="%1.%2.%3.%4.%5.%6.%7."/>
      <w:lvlJc w:val="left"/>
      <w:pPr>
        <w:ind w:left="2190" w:hanging="1440"/>
      </w:pPr>
      <w:rPr>
        <w:rFonts w:ascii="Arial" w:hAnsi="Arial"/>
        <w:b/>
        <w:color w:val="00000A"/>
        <w:sz w:val="21"/>
      </w:rPr>
    </w:lvl>
    <w:lvl w:ilvl="7" w:tentative="0">
      <w:start w:val="1"/>
      <w:numFmt w:val="decimal"/>
      <w:lvlText w:val="%1.%2.%3.%4.%5.%6.%7.%8."/>
      <w:lvlJc w:val="left"/>
      <w:pPr>
        <w:ind w:left="2255" w:hanging="1440"/>
      </w:pPr>
      <w:rPr>
        <w:rFonts w:ascii="Arial" w:hAnsi="Arial"/>
        <w:b/>
        <w:color w:val="00000A"/>
        <w:sz w:val="21"/>
      </w:rPr>
    </w:lvl>
    <w:lvl w:ilvl="8" w:tentative="0">
      <w:start w:val="1"/>
      <w:numFmt w:val="decimal"/>
      <w:lvlText w:val="%1.%2.%3.%4.%5.%6.%7.%8.%9."/>
      <w:lvlJc w:val="left"/>
      <w:pPr>
        <w:ind w:left="2680" w:hanging="1800"/>
      </w:pPr>
      <w:rPr>
        <w:rFonts w:ascii="Arial" w:hAnsi="Arial"/>
        <w:b/>
        <w:color w:val="00000A"/>
        <w:sz w:val="21"/>
      </w:rPr>
    </w:lvl>
  </w:abstractNum>
  <w:abstractNum w:abstractNumId="8">
    <w:nsid w:val="0FC31340"/>
    <w:multiLevelType w:val="singleLevel"/>
    <w:tmpl w:val="0FC31340"/>
    <w:lvl w:ilvl="0" w:tentative="0">
      <w:start w:val="1"/>
      <w:numFmt w:val="lowerLetter"/>
      <w:lvlText w:val="%1."/>
      <w:lvlJc w:val="left"/>
      <w:pPr>
        <w:tabs>
          <w:tab w:val="left" w:pos="425"/>
        </w:tabs>
        <w:ind w:left="425" w:leftChars="0" w:hanging="425" w:firstLineChars="0"/>
      </w:pPr>
      <w:rPr>
        <w:rFonts w:hint="default"/>
      </w:rPr>
    </w:lvl>
  </w:abstractNum>
  <w:abstractNum w:abstractNumId="9">
    <w:nsid w:val="25B654F3"/>
    <w:multiLevelType w:val="multilevel"/>
    <w:tmpl w:val="25B654F3"/>
    <w:lvl w:ilvl="0" w:tentative="0">
      <w:start w:val="5"/>
      <w:numFmt w:val="decimal"/>
      <w:lvlText w:val="%1"/>
      <w:lvlJc w:val="left"/>
      <w:pPr>
        <w:ind w:left="405" w:hanging="405"/>
      </w:pPr>
    </w:lvl>
    <w:lvl w:ilvl="1" w:tentative="0">
      <w:start w:val="1"/>
      <w:numFmt w:val="decimal"/>
      <w:lvlText w:val="%1.%2"/>
      <w:lvlJc w:val="left"/>
      <w:pPr>
        <w:ind w:left="1114" w:hanging="405"/>
      </w:pPr>
    </w:lvl>
    <w:lvl w:ilvl="2" w:tentative="0">
      <w:start w:val="1"/>
      <w:numFmt w:val="decimal"/>
      <w:lvlText w:val="%1.%2.%3"/>
      <w:lvlJc w:val="left"/>
      <w:pPr>
        <w:ind w:left="2216" w:hanging="720"/>
      </w:pPr>
      <w:rPr>
        <w:rFonts w:ascii="Arial" w:hAnsi="Arial" w:cs="Arial"/>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10">
    <w:nsid w:val="2A8F537B"/>
    <w:multiLevelType w:val="multilevel"/>
    <w:tmpl w:val="2A8F537B"/>
    <w:lvl w:ilvl="0" w:tentative="0">
      <w:start w:val="8"/>
      <w:numFmt w:val="decimal"/>
      <w:lvlText w:val="%1"/>
      <w:lvlJc w:val="left"/>
      <w:pPr>
        <w:ind w:left="720" w:hanging="360"/>
      </w:pPr>
    </w:lvl>
    <w:lvl w:ilvl="1" w:tentative="0">
      <w:start w:val="1"/>
      <w:numFmt w:val="decimal"/>
      <w:lvlText w:val="%1.%2."/>
      <w:lvlJc w:val="left"/>
      <w:pPr>
        <w:ind w:left="785" w:hanging="360"/>
      </w:pPr>
      <w:rPr>
        <w:rFonts w:ascii="Arial" w:hAnsi="Arial"/>
        <w:b/>
        <w:color w:val="00000A"/>
        <w:sz w:val="21"/>
      </w:rPr>
    </w:lvl>
    <w:lvl w:ilvl="2" w:tentative="0">
      <w:start w:val="1"/>
      <w:numFmt w:val="decimal"/>
      <w:lvlText w:val="%1.%2.%3."/>
      <w:lvlJc w:val="left"/>
      <w:pPr>
        <w:ind w:left="1210" w:hanging="720"/>
      </w:pPr>
      <w:rPr>
        <w:rFonts w:ascii="Arial" w:hAnsi="Arial"/>
        <w:b/>
        <w:color w:val="00000A"/>
        <w:sz w:val="21"/>
      </w:rPr>
    </w:lvl>
    <w:lvl w:ilvl="3" w:tentative="0">
      <w:start w:val="1"/>
      <w:numFmt w:val="decimal"/>
      <w:lvlText w:val="%1.%2.%3.%4."/>
      <w:lvlJc w:val="left"/>
      <w:pPr>
        <w:ind w:left="1275" w:hanging="720"/>
      </w:pPr>
      <w:rPr>
        <w:rFonts w:ascii="Arial" w:hAnsi="Arial"/>
        <w:b/>
        <w:color w:val="00000A"/>
        <w:sz w:val="21"/>
      </w:rPr>
    </w:lvl>
    <w:lvl w:ilvl="4" w:tentative="0">
      <w:start w:val="1"/>
      <w:numFmt w:val="decimal"/>
      <w:lvlText w:val="%1.%2.%3.%4.%5."/>
      <w:lvlJc w:val="left"/>
      <w:pPr>
        <w:ind w:left="1700" w:hanging="1080"/>
      </w:pPr>
      <w:rPr>
        <w:rFonts w:ascii="Arial" w:hAnsi="Arial"/>
        <w:b/>
        <w:color w:val="00000A"/>
        <w:sz w:val="21"/>
      </w:rPr>
    </w:lvl>
    <w:lvl w:ilvl="5" w:tentative="0">
      <w:start w:val="1"/>
      <w:numFmt w:val="decimal"/>
      <w:lvlText w:val="%1.%2.%3.%4.%5.%6."/>
      <w:lvlJc w:val="left"/>
      <w:pPr>
        <w:ind w:left="1765" w:hanging="1080"/>
      </w:pPr>
      <w:rPr>
        <w:rFonts w:ascii="Arial" w:hAnsi="Arial"/>
        <w:b/>
        <w:color w:val="00000A"/>
        <w:sz w:val="21"/>
      </w:rPr>
    </w:lvl>
    <w:lvl w:ilvl="6" w:tentative="0">
      <w:start w:val="1"/>
      <w:numFmt w:val="decimal"/>
      <w:lvlText w:val="%1.%2.%3.%4.%5.%6.%7."/>
      <w:lvlJc w:val="left"/>
      <w:pPr>
        <w:ind w:left="2190" w:hanging="1440"/>
      </w:pPr>
      <w:rPr>
        <w:rFonts w:ascii="Arial" w:hAnsi="Arial"/>
        <w:b/>
        <w:color w:val="00000A"/>
        <w:sz w:val="21"/>
      </w:rPr>
    </w:lvl>
    <w:lvl w:ilvl="7" w:tentative="0">
      <w:start w:val="1"/>
      <w:numFmt w:val="decimal"/>
      <w:lvlText w:val="%1.%2.%3.%4.%5.%6.%7.%8."/>
      <w:lvlJc w:val="left"/>
      <w:pPr>
        <w:ind w:left="2255" w:hanging="1440"/>
      </w:pPr>
      <w:rPr>
        <w:rFonts w:ascii="Arial" w:hAnsi="Arial"/>
        <w:b/>
        <w:color w:val="00000A"/>
        <w:sz w:val="21"/>
      </w:rPr>
    </w:lvl>
    <w:lvl w:ilvl="8" w:tentative="0">
      <w:start w:val="1"/>
      <w:numFmt w:val="decimal"/>
      <w:lvlText w:val="%1.%2.%3.%4.%5.%6.%7.%8.%9."/>
      <w:lvlJc w:val="left"/>
      <w:pPr>
        <w:ind w:left="2680" w:hanging="1800"/>
      </w:pPr>
      <w:rPr>
        <w:rFonts w:ascii="Arial" w:hAnsi="Arial"/>
        <w:b/>
        <w:color w:val="00000A"/>
        <w:sz w:val="21"/>
      </w:rPr>
    </w:lvl>
  </w:abstractNum>
  <w:abstractNum w:abstractNumId="11">
    <w:nsid w:val="59ADCABA"/>
    <w:multiLevelType w:val="multilevel"/>
    <w:tmpl w:val="59ADCABA"/>
    <w:lvl w:ilvl="0" w:tentative="0">
      <w:start w:val="1"/>
      <w:numFmt w:val="decimal"/>
      <w:lvlText w:val="%1"/>
      <w:lvlJc w:val="left"/>
      <w:pPr>
        <w:ind w:left="405" w:hanging="405"/>
      </w:pPr>
    </w:lvl>
    <w:lvl w:ilvl="1" w:tentative="0">
      <w:start w:val="1"/>
      <w:numFmt w:val="decimal"/>
      <w:lvlText w:val="%1.%2"/>
      <w:lvlJc w:val="left"/>
      <w:pPr>
        <w:ind w:left="1114" w:hanging="405"/>
      </w:pPr>
      <w:rPr>
        <w:rFonts w:ascii="Arial" w:hAnsi="Arial"/>
        <w:i w:val="0"/>
        <w:color w:val="00000A"/>
        <w:sz w:val="21"/>
      </w:rPr>
    </w:lvl>
    <w:lvl w:ilvl="2" w:tentative="0">
      <w:start w:val="1"/>
      <w:numFmt w:val="decimal"/>
      <w:lvlText w:val="%1.%2.%3"/>
      <w:lvlJc w:val="left"/>
      <w:pPr>
        <w:ind w:left="2216" w:hanging="720"/>
      </w:pPr>
      <w:rPr>
        <w:rFonts w:ascii="Arial" w:hAnsi="Arial" w:cs="Arial"/>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12">
    <w:nsid w:val="72183CF9"/>
    <w:multiLevelType w:val="multilevel"/>
    <w:tmpl w:val="72183CF9"/>
    <w:lvl w:ilvl="0" w:tentative="0">
      <w:start w:val="6"/>
      <w:numFmt w:val="decimal"/>
      <w:lvlText w:val="%1"/>
      <w:lvlJc w:val="left"/>
      <w:pPr>
        <w:ind w:left="405" w:hanging="405"/>
      </w:pPr>
    </w:lvl>
    <w:lvl w:ilvl="1" w:tentative="0">
      <w:start w:val="1"/>
      <w:numFmt w:val="decimal"/>
      <w:lvlText w:val="%1.%2"/>
      <w:lvlJc w:val="left"/>
      <w:pPr>
        <w:ind w:left="1114" w:hanging="405"/>
      </w:pPr>
      <w:rPr>
        <w:rFonts w:ascii="Arial" w:hAnsi="Arial"/>
        <w:i w:val="0"/>
        <w:color w:val="00000A"/>
        <w:sz w:val="21"/>
      </w:rPr>
    </w:lvl>
    <w:lvl w:ilvl="2" w:tentative="0">
      <w:start w:val="1"/>
      <w:numFmt w:val="decimal"/>
      <w:lvlText w:val="%1.%2.%3"/>
      <w:lvlJc w:val="left"/>
      <w:pPr>
        <w:ind w:left="2216" w:hanging="720"/>
      </w:pPr>
      <w:rPr>
        <w:rFonts w:ascii="Arial" w:hAnsi="Arial" w:cs="Arial"/>
        <w:sz w:val="21"/>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num w:numId="1">
    <w:abstractNumId w:val="6"/>
  </w:num>
  <w:num w:numId="2">
    <w:abstractNumId w:val="5"/>
  </w:num>
  <w:num w:numId="3">
    <w:abstractNumId w:val="11"/>
  </w:num>
  <w:num w:numId="4">
    <w:abstractNumId w:val="3"/>
  </w:num>
  <w:num w:numId="5">
    <w:abstractNumId w:val="2"/>
  </w:num>
  <w:num w:numId="6">
    <w:abstractNumId w:val="1"/>
  </w:num>
  <w:num w:numId="7">
    <w:abstractNumId w:val="9"/>
  </w:num>
  <w:num w:numId="8">
    <w:abstractNumId w:val="12"/>
  </w:num>
  <w:num w:numId="9">
    <w:abstractNumId w:val="7"/>
  </w:num>
  <w:num w:numId="10">
    <w:abstractNumId w:val="0"/>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305EDB"/>
    <w:rsid w:val="00522D98"/>
    <w:rsid w:val="00595DAC"/>
    <w:rsid w:val="00615CC3"/>
    <w:rsid w:val="00696A0F"/>
    <w:rsid w:val="008F6EC7"/>
    <w:rsid w:val="00A43DB8"/>
    <w:rsid w:val="00AE16E4"/>
    <w:rsid w:val="00F51D05"/>
    <w:rsid w:val="09216BBF"/>
    <w:rsid w:val="0CB00CA3"/>
    <w:rsid w:val="103210A2"/>
    <w:rsid w:val="14E942F1"/>
    <w:rsid w:val="15155AC8"/>
    <w:rsid w:val="16003DAE"/>
    <w:rsid w:val="19CF5353"/>
    <w:rsid w:val="1C4B359D"/>
    <w:rsid w:val="214A2F73"/>
    <w:rsid w:val="31957677"/>
    <w:rsid w:val="3C3C0A43"/>
    <w:rsid w:val="40C9445C"/>
    <w:rsid w:val="41336985"/>
    <w:rsid w:val="467C03A7"/>
    <w:rsid w:val="48501A9D"/>
    <w:rsid w:val="4F5574F3"/>
    <w:rsid w:val="61EE14C5"/>
    <w:rsid w:val="656038F7"/>
    <w:rsid w:val="677F4160"/>
    <w:rsid w:val="68273202"/>
    <w:rsid w:val="6DEA4938"/>
    <w:rsid w:val="6F481564"/>
    <w:rsid w:val="7164636F"/>
    <w:rsid w:val="731F2D62"/>
    <w:rsid w:val="7B376EDF"/>
  </w:rsids>
  <m:mathPr>
    <m:mathFont m:val="Cambria Math"/>
    <m:brkBin m:val="before"/>
    <m:brkBinSub m:val="--"/>
    <m:smallFrac m:val="0"/>
    <m:dispDef/>
    <m:lMargin m:val="0"/>
    <m:rMargin m:val="0"/>
    <m:defJc m:val="centerGroup"/>
    <m:wrapIndent m:val="1440"/>
    <m:intLim m:val="subSup"/>
    <m:naryLim m:val="undOvr"/>
  </m:mathPr>
  <w:themeFontLang w:val="pt-B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suppressAutoHyphens/>
      <w:spacing w:after="200" w:line="276" w:lineRule="auto"/>
    </w:pPr>
    <w:rPr>
      <w:rFonts w:ascii="Arial" w:hAnsi="Arial" w:eastAsia="Times New Roman" w:cs="Tahoma"/>
      <w:szCs w:val="24"/>
      <w:lang w:val="pt-BR" w:eastAsia="ar-SA" w:bidi="ar-SA"/>
    </w:rPr>
  </w:style>
  <w:style w:type="character" w:default="1" w:styleId="7">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suppressAutoHyphens w:val="0"/>
    </w:pPr>
    <w:rPr>
      <w:rFonts w:ascii="Ecofont_Spranq_eco_Sans" w:hAnsi="Ecofont_Spranq_eco_Sans"/>
      <w:szCs w:val="20"/>
      <w:lang w:eastAsia="pt-BR"/>
    </w:rPr>
  </w:style>
  <w:style w:type="paragraph" w:styleId="3">
    <w:name w:val="Normal (Web)"/>
    <w:basedOn w:val="1"/>
    <w:qFormat/>
    <w:uiPriority w:val="0"/>
    <w:pPr>
      <w:spacing w:before="100" w:after="100"/>
    </w:pPr>
    <w:rPr>
      <w:rFonts w:ascii="Times New Roman" w:hAnsi="Times New Roman" w:cs="Times New Roman"/>
    </w:rPr>
  </w:style>
  <w:style w:type="paragraph" w:styleId="4">
    <w:name w:val="header"/>
    <w:basedOn w:val="1"/>
    <w:qFormat/>
    <w:uiPriority w:val="0"/>
    <w:pPr>
      <w:tabs>
        <w:tab w:val="center" w:pos="4252"/>
        <w:tab w:val="right" w:pos="8504"/>
      </w:tabs>
    </w:pPr>
  </w:style>
  <w:style w:type="paragraph" w:styleId="5">
    <w:name w:val="footer"/>
    <w:basedOn w:val="1"/>
    <w:qFormat/>
    <w:uiPriority w:val="99"/>
    <w:pPr>
      <w:tabs>
        <w:tab w:val="center" w:pos="4252"/>
        <w:tab w:val="right" w:pos="8504"/>
      </w:tabs>
    </w:pPr>
  </w:style>
  <w:style w:type="paragraph" w:styleId="6">
    <w:name w:val="Balloon Text"/>
    <w:basedOn w:val="1"/>
    <w:semiHidden/>
    <w:unhideWhenUsed/>
    <w:qFormat/>
    <w:uiPriority w:val="99"/>
    <w:rPr>
      <w:rFonts w:ascii="Segoe UI" w:hAnsi="Segoe UI" w:cs="Segoe UI"/>
      <w:sz w:val="18"/>
      <w:szCs w:val="18"/>
    </w:rPr>
  </w:style>
  <w:style w:type="character" w:styleId="8">
    <w:name w:val="Strong"/>
    <w:qFormat/>
    <w:uiPriority w:val="0"/>
    <w:rPr>
      <w:b/>
      <w:bCs/>
    </w:rPr>
  </w:style>
  <w:style w:type="character" w:styleId="9">
    <w:name w:val="annotation reference"/>
    <w:unhideWhenUsed/>
    <w:qFormat/>
    <w:uiPriority w:val="99"/>
    <w:rPr>
      <w:sz w:val="16"/>
      <w:szCs w:val="16"/>
    </w:rPr>
  </w:style>
  <w:style w:type="character" w:styleId="10">
    <w:name w:val="Hyperlink"/>
    <w:qFormat/>
    <w:uiPriority w:val="0"/>
    <w:rPr>
      <w:color w:val="000080"/>
      <w:u w:val="single"/>
    </w:rPr>
  </w:style>
  <w:style w:type="paragraph" w:customStyle="1" w:styleId="12">
    <w:name w:val="Título 11"/>
    <w:basedOn w:val="1"/>
    <w:qFormat/>
    <w:uiPriority w:val="0"/>
    <w:pPr>
      <w:keepNext/>
      <w:keepLines/>
      <w:spacing w:before="480" w:after="0"/>
      <w:outlineLvl w:val="0"/>
    </w:pPr>
    <w:rPr>
      <w:rFonts w:ascii="Cambria" w:hAnsi="Cambria" w:cs="font292"/>
      <w:b/>
      <w:bCs/>
      <w:color w:val="365F91"/>
      <w:sz w:val="28"/>
      <w:szCs w:val="28"/>
    </w:rPr>
  </w:style>
  <w:style w:type="paragraph" w:customStyle="1" w:styleId="13">
    <w:name w:val="Título 21"/>
    <w:basedOn w:val="1"/>
    <w:qFormat/>
    <w:uiPriority w:val="0"/>
    <w:pPr>
      <w:keepNext/>
      <w:numPr>
        <w:ilvl w:val="0"/>
        <w:numId w:val="1"/>
      </w:numPr>
      <w:tabs>
        <w:tab w:val="left" w:pos="1701"/>
      </w:tabs>
      <w:ind w:left="0" w:firstLine="0"/>
      <w:jc w:val="center"/>
      <w:outlineLvl w:val="0"/>
    </w:pPr>
    <w:rPr>
      <w:rFonts w:ascii="Times New Roman" w:hAnsi="Times New Roman" w:cs="Times New Roman"/>
      <w:b/>
      <w:color w:val="000000"/>
      <w:szCs w:val="20"/>
    </w:rPr>
  </w:style>
  <w:style w:type="character" w:customStyle="1" w:styleId="14">
    <w:name w:val="Ênfase1"/>
    <w:qFormat/>
    <w:uiPriority w:val="0"/>
    <w:rPr>
      <w:i/>
      <w:iCs/>
    </w:rPr>
  </w:style>
  <w:style w:type="character" w:customStyle="1" w:styleId="15">
    <w:name w:val="Link da Internet"/>
    <w:basedOn w:val="7"/>
    <w:qFormat/>
    <w:uiPriority w:val="0"/>
    <w:rPr>
      <w:color w:val="000080"/>
      <w:u w:val="single"/>
    </w:rPr>
  </w:style>
  <w:style w:type="character" w:customStyle="1" w:styleId="16">
    <w:name w:val="Fonte parág. padrão1"/>
    <w:qFormat/>
    <w:uiPriority w:val="0"/>
  </w:style>
  <w:style w:type="character" w:customStyle="1" w:styleId="17">
    <w:name w:val="Texto de balão Char"/>
    <w:qFormat/>
    <w:uiPriority w:val="0"/>
    <w:rPr>
      <w:rFonts w:ascii="Tahoma" w:hAnsi="Tahoma" w:cs="Tahoma"/>
      <w:sz w:val="16"/>
      <w:szCs w:val="16"/>
    </w:rPr>
  </w:style>
  <w:style w:type="character" w:customStyle="1" w:styleId="18">
    <w:name w:val="Título 2 Char"/>
    <w:qFormat/>
    <w:uiPriority w:val="0"/>
    <w:rPr>
      <w:b/>
      <w:color w:val="000000"/>
      <w:sz w:val="24"/>
    </w:rPr>
  </w:style>
  <w:style w:type="character" w:customStyle="1" w:styleId="19">
    <w:name w:val="normal__char1"/>
    <w:qFormat/>
    <w:uiPriority w:val="0"/>
    <w:rPr>
      <w:rFonts w:ascii="Arial" w:hAnsi="Arial"/>
      <w:dstrike/>
      <w:sz w:val="24"/>
      <w:u w:val="none"/>
    </w:rPr>
  </w:style>
  <w:style w:type="character" w:customStyle="1" w:styleId="20">
    <w:name w:val="apple-style-span"/>
    <w:basedOn w:val="16"/>
    <w:qFormat/>
    <w:uiPriority w:val="0"/>
  </w:style>
  <w:style w:type="character" w:customStyle="1" w:styleId="21">
    <w:name w:val="Citação Char"/>
    <w:qFormat/>
    <w:uiPriority w:val="0"/>
    <w:rPr>
      <w:rFonts w:ascii="Arial" w:hAnsi="Arial" w:eastAsia="Calibri" w:cs="Tahoma"/>
      <w:i/>
      <w:iCs/>
      <w:color w:val="000000"/>
      <w:szCs w:val="24"/>
    </w:rPr>
  </w:style>
  <w:style w:type="character" w:customStyle="1" w:styleId="22">
    <w:name w:val="citação 2 Char"/>
    <w:qFormat/>
    <w:uiPriority w:val="0"/>
    <w:rPr>
      <w:rFonts w:ascii="Arial" w:hAnsi="Arial" w:eastAsia="Calibri" w:cs="Tahoma"/>
      <w:i/>
      <w:iCs/>
      <w:color w:val="000000"/>
      <w:szCs w:val="24"/>
    </w:rPr>
  </w:style>
  <w:style w:type="character" w:customStyle="1" w:styleId="23">
    <w:name w:val="Cabeçalho Char"/>
    <w:qFormat/>
    <w:uiPriority w:val="0"/>
    <w:rPr>
      <w:rFonts w:ascii="Ecofont_Spranq_eco_Sans" w:hAnsi="Ecofont_Spranq_eco_Sans" w:cs="Tahoma"/>
      <w:sz w:val="24"/>
      <w:szCs w:val="24"/>
    </w:rPr>
  </w:style>
  <w:style w:type="character" w:customStyle="1" w:styleId="24">
    <w:name w:val="Rodapé Char"/>
    <w:qFormat/>
    <w:uiPriority w:val="99"/>
    <w:rPr>
      <w:rFonts w:ascii="Ecofont_Spranq_eco_Sans" w:hAnsi="Ecofont_Spranq_eco_Sans" w:cs="Tahoma"/>
      <w:sz w:val="24"/>
      <w:szCs w:val="24"/>
    </w:rPr>
  </w:style>
  <w:style w:type="character" w:customStyle="1" w:styleId="25">
    <w:name w:val="cp_0020corpodespacho__char1"/>
    <w:qFormat/>
    <w:uiPriority w:val="0"/>
    <w:rPr>
      <w:rFonts w:ascii="Times New Roman" w:hAnsi="Times New Roman"/>
      <w:dstrike/>
      <w:sz w:val="26"/>
      <w:u w:val="none"/>
    </w:rPr>
  </w:style>
  <w:style w:type="character" w:customStyle="1" w:styleId="26">
    <w:name w:val="em_0020ementa__char1"/>
    <w:qFormat/>
    <w:uiPriority w:val="0"/>
    <w:rPr>
      <w:rFonts w:ascii="Times New Roman" w:hAnsi="Times New Roman"/>
      <w:dstrike/>
      <w:sz w:val="28"/>
      <w:u w:val="none"/>
    </w:rPr>
  </w:style>
  <w:style w:type="character" w:customStyle="1" w:styleId="27">
    <w:name w:val="Ref. de comentário1"/>
    <w:qFormat/>
    <w:uiPriority w:val="0"/>
    <w:rPr>
      <w:sz w:val="16"/>
      <w:szCs w:val="16"/>
    </w:rPr>
  </w:style>
  <w:style w:type="character" w:customStyle="1" w:styleId="28">
    <w:name w:val="Texto de comentário Char"/>
    <w:qFormat/>
    <w:uiPriority w:val="99"/>
    <w:rPr>
      <w:rFonts w:ascii="Ecofont_Spranq_eco_Sans" w:hAnsi="Ecofont_Spranq_eco_Sans" w:cs="Tahoma"/>
    </w:rPr>
  </w:style>
  <w:style w:type="character" w:customStyle="1" w:styleId="29">
    <w:name w:val="Assunto do comentário Char"/>
    <w:qFormat/>
    <w:uiPriority w:val="0"/>
    <w:rPr>
      <w:rFonts w:ascii="Ecofont_Spranq_eco_Sans" w:hAnsi="Ecofont_Spranq_eco_Sans" w:cs="Tahoma"/>
      <w:b/>
      <w:bCs/>
    </w:rPr>
  </w:style>
  <w:style w:type="character" w:customStyle="1" w:styleId="30">
    <w:name w:val="Título 1 Char"/>
    <w:qFormat/>
    <w:uiPriority w:val="0"/>
    <w:rPr>
      <w:rFonts w:ascii="Cambria" w:hAnsi="Cambria" w:cs="font292"/>
      <w:b/>
      <w:bCs/>
      <w:color w:val="365F91"/>
      <w:sz w:val="28"/>
      <w:szCs w:val="28"/>
    </w:rPr>
  </w:style>
  <w:style w:type="character" w:customStyle="1" w:styleId="31">
    <w:name w:val="Nivel 01 Char"/>
    <w:qFormat/>
    <w:uiPriority w:val="0"/>
    <w:rPr>
      <w:rFonts w:ascii="Arial" w:hAnsi="Arial" w:cs="font292"/>
      <w:b/>
      <w:bCs/>
      <w:color w:val="000000"/>
      <w:sz w:val="28"/>
      <w:szCs w:val="28"/>
    </w:rPr>
  </w:style>
  <w:style w:type="character" w:customStyle="1" w:styleId="32">
    <w:name w:val="normaltextrun"/>
    <w:basedOn w:val="16"/>
    <w:qFormat/>
    <w:uiPriority w:val="0"/>
  </w:style>
  <w:style w:type="character" w:customStyle="1" w:styleId="33">
    <w:name w:val="eop"/>
    <w:basedOn w:val="16"/>
    <w:qFormat/>
    <w:uiPriority w:val="0"/>
  </w:style>
  <w:style w:type="character" w:customStyle="1" w:styleId="34">
    <w:name w:val="spellingerror"/>
    <w:basedOn w:val="16"/>
    <w:qFormat/>
    <w:uiPriority w:val="0"/>
  </w:style>
  <w:style w:type="character" w:customStyle="1" w:styleId="35">
    <w:name w:val="Quote Char"/>
    <w:qFormat/>
    <w:uiPriority w:val="0"/>
    <w:rPr>
      <w:rFonts w:ascii="Ecofont_Spranq_eco_Sans" w:hAnsi="Ecofont_Spranq_eco_Sans" w:eastAsia="Calibri" w:cs="Tahoma"/>
      <w:i/>
      <w:iCs/>
      <w:color w:val="000000"/>
    </w:rPr>
  </w:style>
  <w:style w:type="character" w:customStyle="1" w:styleId="36">
    <w:name w:val="Manoel"/>
    <w:qFormat/>
    <w:uiPriority w:val="0"/>
    <w:rPr>
      <w:rFonts w:ascii="Arial" w:hAnsi="Arial" w:cs="Arial"/>
      <w:color w:val="7030A0"/>
      <w:sz w:val="20"/>
    </w:rPr>
  </w:style>
  <w:style w:type="character" w:customStyle="1" w:styleId="37">
    <w:name w:val="ListLabel 12"/>
    <w:qFormat/>
    <w:uiPriority w:val="0"/>
    <w:rPr>
      <w:b/>
    </w:rPr>
  </w:style>
  <w:style w:type="character" w:customStyle="1" w:styleId="38">
    <w:name w:val="Grade Colorida - Ênfase 1 Char"/>
    <w:qFormat/>
    <w:uiPriority w:val="0"/>
    <w:rPr>
      <w:rFonts w:ascii="Arial" w:hAnsi="Arial" w:eastAsia="Calibri"/>
      <w:i/>
      <w:iCs/>
      <w:color w:val="000000"/>
      <w:szCs w:val="24"/>
    </w:rPr>
  </w:style>
  <w:style w:type="character" w:customStyle="1" w:styleId="39">
    <w:name w:val="Corpo de texto Char"/>
    <w:qFormat/>
    <w:uiPriority w:val="0"/>
    <w:rPr>
      <w:sz w:val="24"/>
      <w:szCs w:val="24"/>
    </w:rPr>
  </w:style>
  <w:style w:type="character" w:customStyle="1" w:styleId="40">
    <w:name w:val="highlight"/>
    <w:basedOn w:val="16"/>
    <w:qFormat/>
    <w:uiPriority w:val="0"/>
  </w:style>
  <w:style w:type="character" w:customStyle="1" w:styleId="41">
    <w:name w:val="Nivel1 Char"/>
    <w:qFormat/>
    <w:uiPriority w:val="0"/>
    <w:rPr>
      <w:rFonts w:ascii="Arial" w:hAnsi="Arial" w:cs="Arial"/>
      <w:b/>
      <w:color w:val="000000"/>
      <w:sz w:val="28"/>
      <w:szCs w:val="28"/>
    </w:rPr>
  </w:style>
  <w:style w:type="character" w:customStyle="1" w:styleId="42">
    <w:name w:val="Nivel 4 Char"/>
    <w:qFormat/>
    <w:uiPriority w:val="0"/>
    <w:rPr>
      <w:rFonts w:ascii="Ecofont_Spranq_eco_Sans" w:hAnsi="Ecofont_Spranq_eco_Sans" w:eastAsia="Arial Unicode MS" w:cs="Arial"/>
    </w:rPr>
  </w:style>
  <w:style w:type="character" w:customStyle="1" w:styleId="43">
    <w:name w:val="ListLabel 13"/>
    <w:qFormat/>
    <w:uiPriority w:val="0"/>
    <w:rPr>
      <w:rFonts w:cs="Arial"/>
      <w:b/>
    </w:rPr>
  </w:style>
  <w:style w:type="character" w:customStyle="1" w:styleId="44">
    <w:name w:val="ListLabel 14"/>
    <w:qFormat/>
    <w:uiPriority w:val="0"/>
    <w:rPr>
      <w:color w:val="00000A"/>
    </w:rPr>
  </w:style>
  <w:style w:type="character" w:customStyle="1" w:styleId="45">
    <w:name w:val="ListLabel 15"/>
    <w:qFormat/>
    <w:uiPriority w:val="0"/>
  </w:style>
  <w:style w:type="character" w:customStyle="1" w:styleId="46">
    <w:name w:val="ListLabel 16"/>
    <w:qFormat/>
    <w:uiPriority w:val="0"/>
    <w:rPr>
      <w:rFonts w:cs="Arial"/>
    </w:rPr>
  </w:style>
  <w:style w:type="character" w:customStyle="1" w:styleId="47">
    <w:name w:val="ListLabel 17"/>
    <w:qFormat/>
    <w:uiPriority w:val="0"/>
    <w:rPr>
      <w:i/>
      <w:color w:val="FF0000"/>
    </w:rPr>
  </w:style>
  <w:style w:type="character" w:customStyle="1" w:styleId="48">
    <w:name w:val="ListLabel 18"/>
    <w:qFormat/>
    <w:uiPriority w:val="0"/>
    <w:rPr>
      <w:color w:val="00000A"/>
    </w:rPr>
  </w:style>
  <w:style w:type="character" w:customStyle="1" w:styleId="49">
    <w:name w:val="ListLabel 19"/>
    <w:qFormat/>
    <w:uiPriority w:val="0"/>
    <w:rPr>
      <w:color w:val="00000A"/>
    </w:rPr>
  </w:style>
  <w:style w:type="character" w:customStyle="1" w:styleId="50">
    <w:name w:val="ListLabel 20"/>
    <w:qFormat/>
    <w:uiPriority w:val="0"/>
    <w:rPr>
      <w:color w:val="FF0000"/>
    </w:rPr>
  </w:style>
  <w:style w:type="character" w:customStyle="1" w:styleId="51">
    <w:name w:val="ListLabel 21"/>
    <w:qFormat/>
    <w:uiPriority w:val="0"/>
    <w:rPr>
      <w:color w:val="000000"/>
      <w:sz w:val="20"/>
    </w:rPr>
  </w:style>
  <w:style w:type="character" w:customStyle="1" w:styleId="52">
    <w:name w:val="ListLabel 22"/>
    <w:qFormat/>
    <w:uiPriority w:val="0"/>
    <w:rPr>
      <w:b/>
      <w:dstrike/>
    </w:rPr>
  </w:style>
  <w:style w:type="character" w:customStyle="1" w:styleId="53">
    <w:name w:val="ListLabel 23"/>
    <w:qFormat/>
    <w:uiPriority w:val="0"/>
  </w:style>
  <w:style w:type="character" w:customStyle="1" w:styleId="54">
    <w:name w:val="ListLabel 24"/>
    <w:qFormat/>
    <w:uiPriority w:val="0"/>
  </w:style>
  <w:style w:type="character" w:customStyle="1" w:styleId="55">
    <w:name w:val="ListLabel 25"/>
    <w:qFormat/>
    <w:uiPriority w:val="0"/>
    <w:rPr>
      <w:sz w:val="20"/>
    </w:rPr>
  </w:style>
  <w:style w:type="character" w:customStyle="1" w:styleId="56">
    <w:name w:val="ListLabel 26"/>
    <w:qFormat/>
    <w:uiPriority w:val="0"/>
    <w:rPr>
      <w:color w:val="000000"/>
    </w:rPr>
  </w:style>
  <w:style w:type="character" w:customStyle="1" w:styleId="57">
    <w:name w:val="RTF_Num 2 1"/>
    <w:qFormat/>
    <w:uiPriority w:val="0"/>
  </w:style>
  <w:style w:type="character" w:customStyle="1" w:styleId="58">
    <w:name w:val="Símbolos de numeração"/>
    <w:qFormat/>
    <w:uiPriority w:val="0"/>
  </w:style>
  <w:style w:type="character" w:customStyle="1" w:styleId="59">
    <w:name w:val="Texto de comentário Char1"/>
    <w:semiHidden/>
    <w:qFormat/>
    <w:uiPriority w:val="99"/>
    <w:rPr>
      <w:rFonts w:ascii="Arial" w:hAnsi="Arial" w:cs="Tahoma"/>
      <w:lang w:eastAsia="ar-SA"/>
    </w:rPr>
  </w:style>
  <w:style w:type="character" w:customStyle="1" w:styleId="60">
    <w:name w:val="Citação Char1"/>
    <w:qFormat/>
    <w:uiPriority w:val="29"/>
    <w:rPr>
      <w:rFonts w:ascii="Arial" w:hAnsi="Arial" w:cs="Tahoma"/>
      <w:i/>
      <w:iCs/>
      <w:color w:val="404040"/>
      <w:szCs w:val="24"/>
      <w:lang w:eastAsia="ar-SA"/>
    </w:rPr>
  </w:style>
  <w:style w:type="character" w:customStyle="1" w:styleId="61">
    <w:name w:val="Texto de balão Char1"/>
    <w:basedOn w:val="7"/>
    <w:semiHidden/>
    <w:qFormat/>
    <w:uiPriority w:val="99"/>
    <w:rPr>
      <w:rFonts w:ascii="Segoe UI" w:hAnsi="Segoe UI" w:cs="Segoe UI"/>
      <w:sz w:val="18"/>
      <w:szCs w:val="18"/>
      <w:lang w:eastAsia="ar-SA"/>
    </w:rPr>
  </w:style>
  <w:style w:type="character" w:customStyle="1" w:styleId="62">
    <w:name w:val="ListLabel 27"/>
    <w:qFormat/>
    <w:uiPriority w:val="0"/>
    <w:rPr>
      <w:b/>
      <w:dstrike/>
    </w:rPr>
  </w:style>
  <w:style w:type="character" w:customStyle="1" w:styleId="63">
    <w:name w:val="ListLabel 28"/>
    <w:qFormat/>
    <w:uiPriority w:val="0"/>
  </w:style>
  <w:style w:type="character" w:customStyle="1" w:styleId="64">
    <w:name w:val="ListLabel 29"/>
    <w:qFormat/>
    <w:uiPriority w:val="0"/>
  </w:style>
  <w:style w:type="character" w:customStyle="1" w:styleId="65">
    <w:name w:val="ListLabel 30"/>
    <w:qFormat/>
    <w:uiPriority w:val="0"/>
    <w:rPr>
      <w:rFonts w:ascii="Arial" w:hAnsi="Arial" w:cs="Arial"/>
      <w:sz w:val="21"/>
    </w:rPr>
  </w:style>
  <w:style w:type="character" w:customStyle="1" w:styleId="66">
    <w:name w:val="ListLabel 31"/>
    <w:qFormat/>
    <w:uiPriority w:val="0"/>
    <w:rPr>
      <w:rFonts w:ascii="Arial" w:hAnsi="Arial"/>
      <w:color w:val="00000A"/>
      <w:sz w:val="21"/>
    </w:rPr>
  </w:style>
  <w:style w:type="character" w:customStyle="1" w:styleId="67">
    <w:name w:val="ListLabel 32"/>
    <w:qFormat/>
    <w:uiPriority w:val="0"/>
    <w:rPr>
      <w:rFonts w:ascii="Arial" w:hAnsi="Arial"/>
      <w:sz w:val="21"/>
    </w:rPr>
  </w:style>
  <w:style w:type="character" w:customStyle="1" w:styleId="68">
    <w:name w:val="ListLabel 33"/>
    <w:qFormat/>
    <w:uiPriority w:val="0"/>
    <w:rPr>
      <w:rFonts w:ascii="Arial" w:hAnsi="Arial" w:cs="Arial"/>
      <w:color w:val="00000A"/>
      <w:sz w:val="21"/>
    </w:rPr>
  </w:style>
  <w:style w:type="character" w:customStyle="1" w:styleId="69">
    <w:name w:val="ListLabel 34"/>
    <w:qFormat/>
    <w:uiPriority w:val="0"/>
    <w:rPr>
      <w:rFonts w:ascii="Arial" w:hAnsi="Arial"/>
      <w:b/>
      <w:color w:val="00000A"/>
      <w:sz w:val="21"/>
    </w:rPr>
  </w:style>
  <w:style w:type="character" w:customStyle="1" w:styleId="70">
    <w:name w:val="ListLabel 35"/>
    <w:qFormat/>
    <w:uiPriority w:val="0"/>
    <w:rPr>
      <w:rFonts w:ascii="Arial" w:hAnsi="Arial"/>
      <w:b/>
      <w:i/>
      <w:color w:val="00000A"/>
      <w:sz w:val="21"/>
    </w:rPr>
  </w:style>
  <w:style w:type="paragraph" w:customStyle="1" w:styleId="71">
    <w:name w:val="Título11"/>
    <w:basedOn w:val="1"/>
    <w:next w:val="72"/>
    <w:qFormat/>
    <w:uiPriority w:val="0"/>
    <w:pPr>
      <w:keepNext/>
      <w:spacing w:before="240" w:after="120"/>
    </w:pPr>
    <w:rPr>
      <w:rFonts w:ascii="Liberation Sans" w:hAnsi="Liberation Sans" w:eastAsia="Microsoft YaHei" w:cs="Mangal"/>
      <w:sz w:val="28"/>
      <w:szCs w:val="28"/>
    </w:rPr>
  </w:style>
  <w:style w:type="paragraph" w:customStyle="1" w:styleId="72">
    <w:name w:val="Corpo de texto1"/>
    <w:basedOn w:val="1"/>
    <w:qFormat/>
    <w:uiPriority w:val="0"/>
    <w:pPr>
      <w:spacing w:before="100" w:after="100"/>
    </w:pPr>
    <w:rPr>
      <w:rFonts w:ascii="Times New Roman" w:hAnsi="Times New Roman" w:cs="Times New Roman"/>
      <w:sz w:val="24"/>
    </w:rPr>
  </w:style>
  <w:style w:type="paragraph" w:customStyle="1" w:styleId="73">
    <w:name w:val="Lista1"/>
    <w:basedOn w:val="72"/>
    <w:qFormat/>
    <w:uiPriority w:val="0"/>
  </w:style>
  <w:style w:type="paragraph" w:customStyle="1" w:styleId="74">
    <w:name w:val="Legenda11"/>
    <w:basedOn w:val="1"/>
    <w:qFormat/>
    <w:uiPriority w:val="0"/>
    <w:pPr>
      <w:suppressLineNumbers/>
      <w:spacing w:before="120" w:after="120"/>
    </w:pPr>
    <w:rPr>
      <w:rFonts w:cs="Mangal"/>
      <w:i/>
      <w:iCs/>
      <w:sz w:val="24"/>
    </w:rPr>
  </w:style>
  <w:style w:type="paragraph" w:customStyle="1" w:styleId="75">
    <w:name w:val="Índice"/>
    <w:basedOn w:val="1"/>
    <w:qFormat/>
    <w:uiPriority w:val="0"/>
    <w:pPr>
      <w:suppressLineNumbers/>
    </w:pPr>
  </w:style>
  <w:style w:type="paragraph" w:customStyle="1" w:styleId="76">
    <w:name w:val="Cabeçalho1"/>
    <w:basedOn w:val="1"/>
    <w:qFormat/>
    <w:uiPriority w:val="0"/>
    <w:pPr>
      <w:tabs>
        <w:tab w:val="center" w:pos="4252"/>
        <w:tab w:val="right" w:pos="8504"/>
      </w:tabs>
    </w:pPr>
    <w:rPr>
      <w:sz w:val="24"/>
    </w:rPr>
  </w:style>
  <w:style w:type="paragraph" w:customStyle="1" w:styleId="77">
    <w:name w:val="Rodapé1"/>
    <w:basedOn w:val="1"/>
    <w:qFormat/>
    <w:uiPriority w:val="99"/>
    <w:pPr>
      <w:suppressLineNumbers/>
      <w:tabs>
        <w:tab w:val="center" w:pos="4252"/>
        <w:tab w:val="right" w:pos="8504"/>
      </w:tabs>
    </w:pPr>
  </w:style>
  <w:style w:type="paragraph" w:styleId="78">
    <w:name w:val="Quote"/>
    <w:basedOn w:val="1"/>
    <w:qFormat/>
    <w:uiPriority w:val="0"/>
    <w:pPr>
      <w:pBdr>
        <w:top w:val="single" w:color="1F497D" w:sz="4" w:space="1"/>
        <w:left w:val="single" w:color="1F497D" w:sz="4" w:space="4"/>
        <w:bottom w:val="single" w:color="1F497D" w:sz="4" w:space="1"/>
        <w:right w:val="single" w:color="1F497D" w:sz="4" w:space="4"/>
      </w:pBdr>
      <w:shd w:val="clear" w:color="auto" w:fill="FFFFCC"/>
      <w:suppressAutoHyphens w:val="0"/>
      <w:spacing w:before="120" w:after="0"/>
      <w:jc w:val="both"/>
    </w:pPr>
    <w:rPr>
      <w:rFonts w:eastAsia="Calibri"/>
      <w:i/>
      <w:iCs/>
      <w:color w:val="000000"/>
      <w:lang w:eastAsia="pt-BR"/>
    </w:rPr>
  </w:style>
  <w:style w:type="paragraph" w:customStyle="1" w:styleId="79">
    <w:name w:val="Título1"/>
    <w:basedOn w:val="1"/>
    <w:qFormat/>
    <w:uiPriority w:val="0"/>
    <w:pPr>
      <w:keepNext/>
      <w:spacing w:before="240" w:after="120"/>
    </w:pPr>
    <w:rPr>
      <w:rFonts w:eastAsia="Arial Unicode MS" w:cs="Arial Unicode MS"/>
      <w:sz w:val="28"/>
      <w:szCs w:val="28"/>
    </w:rPr>
  </w:style>
  <w:style w:type="paragraph" w:customStyle="1" w:styleId="80">
    <w:name w:val="Legenda1"/>
    <w:basedOn w:val="1"/>
    <w:qFormat/>
    <w:uiPriority w:val="0"/>
    <w:pPr>
      <w:suppressLineNumbers/>
      <w:spacing w:before="120" w:after="120"/>
    </w:pPr>
    <w:rPr>
      <w:i/>
      <w:iCs/>
      <w:sz w:val="24"/>
    </w:rPr>
  </w:style>
  <w:style w:type="paragraph" w:customStyle="1" w:styleId="81">
    <w:name w:val="Parágrafo da Lista1"/>
    <w:basedOn w:val="1"/>
    <w:qFormat/>
    <w:uiPriority w:val="0"/>
    <w:pPr>
      <w:ind w:left="720"/>
    </w:pPr>
  </w:style>
  <w:style w:type="paragraph" w:customStyle="1" w:styleId="82">
    <w:name w:val="Texto de balão1"/>
    <w:basedOn w:val="1"/>
    <w:qFormat/>
    <w:uiPriority w:val="0"/>
    <w:rPr>
      <w:rFonts w:ascii="Tahoma" w:hAnsi="Tahoma"/>
      <w:sz w:val="16"/>
      <w:szCs w:val="16"/>
    </w:rPr>
  </w:style>
  <w:style w:type="paragraph" w:customStyle="1" w:styleId="83">
    <w:name w:val="Nível 2"/>
    <w:basedOn w:val="1"/>
    <w:qFormat/>
    <w:uiPriority w:val="0"/>
    <w:pPr>
      <w:spacing w:after="120"/>
      <w:jc w:val="both"/>
    </w:pPr>
    <w:rPr>
      <w:rFonts w:cs="Times New Roman"/>
      <w:b/>
      <w:szCs w:val="20"/>
    </w:rPr>
  </w:style>
  <w:style w:type="paragraph" w:customStyle="1" w:styleId="84">
    <w:name w:val="Citação1"/>
    <w:basedOn w:val="1"/>
    <w:qFormat/>
    <w:uiPriority w:val="0"/>
    <w:pPr>
      <w:pBdr>
        <w:top w:val="single" w:color="008080" w:sz="4" w:space="1"/>
        <w:left w:val="single" w:color="008080" w:sz="4" w:space="4"/>
        <w:bottom w:val="single" w:color="008080" w:sz="4" w:space="1"/>
        <w:right w:val="single" w:color="008080" w:sz="4" w:space="4"/>
      </w:pBdr>
      <w:shd w:val="clear" w:color="auto" w:fill="FFFFCC"/>
      <w:spacing w:before="120" w:after="0"/>
      <w:jc w:val="both"/>
    </w:pPr>
    <w:rPr>
      <w:rFonts w:eastAsia="Calibri"/>
      <w:i/>
      <w:iCs/>
      <w:color w:val="000000"/>
    </w:rPr>
  </w:style>
  <w:style w:type="paragraph" w:customStyle="1" w:styleId="85">
    <w:name w:val="Com marcadores 51"/>
    <w:basedOn w:val="1"/>
    <w:qFormat/>
    <w:uiPriority w:val="0"/>
  </w:style>
  <w:style w:type="paragraph" w:customStyle="1" w:styleId="86">
    <w:name w:val="citação 2"/>
    <w:basedOn w:val="84"/>
    <w:qFormat/>
    <w:uiPriority w:val="0"/>
    <w:rPr>
      <w:szCs w:val="20"/>
    </w:rPr>
  </w:style>
  <w:style w:type="paragraph" w:customStyle="1" w:styleId="87">
    <w:name w:val="em_0020ementa"/>
    <w:basedOn w:val="1"/>
    <w:qFormat/>
    <w:uiPriority w:val="0"/>
    <w:pPr>
      <w:ind w:left="4160"/>
      <w:jc w:val="both"/>
    </w:pPr>
    <w:rPr>
      <w:rFonts w:ascii="Times New Roman" w:hAnsi="Times New Roman" w:cs="Times New Roman"/>
      <w:sz w:val="28"/>
      <w:szCs w:val="28"/>
    </w:rPr>
  </w:style>
  <w:style w:type="paragraph" w:customStyle="1" w:styleId="88">
    <w:name w:val="Texto de comentário1"/>
    <w:basedOn w:val="1"/>
    <w:qFormat/>
    <w:uiPriority w:val="0"/>
    <w:rPr>
      <w:szCs w:val="20"/>
    </w:rPr>
  </w:style>
  <w:style w:type="paragraph" w:customStyle="1" w:styleId="89">
    <w:name w:val="Assunto do comentário1"/>
    <w:basedOn w:val="88"/>
    <w:qFormat/>
    <w:uiPriority w:val="0"/>
    <w:rPr>
      <w:b/>
      <w:bCs/>
    </w:rPr>
  </w:style>
  <w:style w:type="paragraph" w:customStyle="1" w:styleId="90">
    <w:name w:val="Revisão1"/>
    <w:qFormat/>
    <w:uiPriority w:val="0"/>
    <w:pPr>
      <w:suppressAutoHyphens/>
      <w:spacing w:after="200" w:line="276" w:lineRule="auto"/>
    </w:pPr>
    <w:rPr>
      <w:rFonts w:ascii="Ecofont_Spranq_eco_Sans" w:hAnsi="Ecofont_Spranq_eco_Sans" w:eastAsia="Times New Roman" w:cs="Tahoma"/>
      <w:sz w:val="24"/>
      <w:szCs w:val="24"/>
      <w:lang w:val="pt-BR" w:eastAsia="ar-SA" w:bidi="ar-SA"/>
    </w:rPr>
  </w:style>
  <w:style w:type="paragraph" w:customStyle="1" w:styleId="91">
    <w:name w:val="Nivel 01"/>
    <w:basedOn w:val="12"/>
    <w:qFormat/>
    <w:uiPriority w:val="0"/>
    <w:pPr>
      <w:spacing w:after="120"/>
      <w:jc w:val="both"/>
    </w:pPr>
    <w:rPr>
      <w:rFonts w:ascii="Arial" w:hAnsi="Arial" w:cs="Times New Roman"/>
      <w:color w:val="000000"/>
      <w:sz w:val="20"/>
      <w:szCs w:val="20"/>
    </w:rPr>
  </w:style>
  <w:style w:type="paragraph" w:customStyle="1" w:styleId="92">
    <w:name w:val="Nivel1"/>
    <w:basedOn w:val="12"/>
    <w:qFormat/>
    <w:uiPriority w:val="0"/>
    <w:pPr>
      <w:ind w:left="357" w:hanging="357"/>
      <w:jc w:val="both"/>
    </w:pPr>
    <w:rPr>
      <w:rFonts w:ascii="Arial" w:hAnsi="Arial" w:cs="Arial"/>
      <w:bCs w:val="0"/>
      <w:color w:val="000000"/>
      <w:sz w:val="20"/>
      <w:szCs w:val="20"/>
    </w:rPr>
  </w:style>
  <w:style w:type="paragraph" w:customStyle="1" w:styleId="93">
    <w:name w:val="PADRÃO"/>
    <w:qFormat/>
    <w:uiPriority w:val="0"/>
    <w:pPr>
      <w:keepNext/>
      <w:widowControl w:val="0"/>
      <w:shd w:val="clear" w:color="auto" w:fill="FFFFFF"/>
      <w:suppressAutoHyphens/>
      <w:spacing w:before="119" w:after="119" w:line="276" w:lineRule="auto"/>
      <w:ind w:firstLine="567"/>
      <w:jc w:val="both"/>
    </w:pPr>
    <w:rPr>
      <w:rFonts w:ascii="Ecofont_Spranq_eco_Sans" w:hAnsi="Ecofont_Spranq_eco_Sans" w:eastAsia="WenQuanYi Micro Hei" w:cs="Lohit Hindi"/>
      <w:szCs w:val="24"/>
      <w:lang w:val="pt-BR" w:eastAsia="hi-IN" w:bidi="hi-IN"/>
    </w:rPr>
  </w:style>
  <w:style w:type="paragraph" w:customStyle="1" w:styleId="94">
    <w:name w:val="paragraph"/>
    <w:basedOn w:val="1"/>
    <w:qFormat/>
    <w:uiPriority w:val="0"/>
    <w:pPr>
      <w:spacing w:before="100" w:after="100"/>
    </w:pPr>
    <w:rPr>
      <w:rFonts w:ascii="Times New Roman" w:hAnsi="Times New Roman" w:cs="Times New Roman"/>
      <w:sz w:val="24"/>
    </w:rPr>
  </w:style>
  <w:style w:type="paragraph" w:customStyle="1" w:styleId="95">
    <w:name w:val="Citação11"/>
    <w:basedOn w:val="1"/>
    <w:qFormat/>
    <w:uiPriority w:val="0"/>
    <w:pPr>
      <w:pBdr>
        <w:top w:val="single" w:color="008080" w:sz="4" w:space="1"/>
        <w:left w:val="single" w:color="008080" w:sz="4" w:space="4"/>
        <w:bottom w:val="single" w:color="008080" w:sz="4" w:space="1"/>
        <w:right w:val="single" w:color="008080" w:sz="4" w:space="4"/>
      </w:pBdr>
      <w:shd w:val="clear" w:color="auto" w:fill="FFFFCC"/>
      <w:spacing w:before="120" w:after="0"/>
      <w:jc w:val="both"/>
    </w:pPr>
    <w:rPr>
      <w:rFonts w:ascii="Ecofont_Spranq_eco_Sans" w:hAnsi="Ecofont_Spranq_eco_Sans" w:eastAsia="Calibri"/>
      <w:i/>
      <w:iCs/>
      <w:color w:val="000000"/>
      <w:szCs w:val="20"/>
    </w:rPr>
  </w:style>
  <w:style w:type="paragraph" w:customStyle="1" w:styleId="96">
    <w:name w:val="texto1"/>
    <w:basedOn w:val="1"/>
    <w:qFormat/>
    <w:uiPriority w:val="0"/>
    <w:pPr>
      <w:spacing w:before="100" w:after="100"/>
    </w:pPr>
    <w:rPr>
      <w:rFonts w:ascii="Times New Roman" w:hAnsi="Times New Roman" w:cs="Times New Roman"/>
      <w:sz w:val="24"/>
    </w:rPr>
  </w:style>
  <w:style w:type="paragraph" w:customStyle="1" w:styleId="97">
    <w:name w:val="Grade Colorida - Ênfase 11"/>
    <w:basedOn w:val="1"/>
    <w:qFormat/>
    <w:uiPriority w:val="0"/>
    <w:pPr>
      <w:pBdr>
        <w:top w:val="single" w:color="008080" w:sz="4" w:space="1"/>
        <w:left w:val="single" w:color="008080" w:sz="4" w:space="4"/>
        <w:bottom w:val="single" w:color="008080" w:sz="4" w:space="1"/>
        <w:right w:val="single" w:color="008080" w:sz="4" w:space="4"/>
      </w:pBdr>
      <w:shd w:val="clear" w:color="auto" w:fill="FFFFCC"/>
      <w:spacing w:before="120" w:after="0"/>
      <w:jc w:val="both"/>
    </w:pPr>
    <w:rPr>
      <w:rFonts w:eastAsia="Calibri" w:cs="Times New Roman"/>
      <w:i/>
      <w:iCs/>
      <w:color w:val="000000"/>
    </w:rPr>
  </w:style>
  <w:style w:type="paragraph" w:customStyle="1" w:styleId="98">
    <w:name w:val="x_western"/>
    <w:basedOn w:val="1"/>
    <w:qFormat/>
    <w:uiPriority w:val="0"/>
    <w:pPr>
      <w:spacing w:before="100" w:after="100"/>
    </w:pPr>
    <w:rPr>
      <w:rFonts w:ascii="Times New Roman" w:hAnsi="Times New Roman" w:cs="Times New Roman"/>
      <w:sz w:val="24"/>
    </w:rPr>
  </w:style>
  <w:style w:type="paragraph" w:customStyle="1" w:styleId="99">
    <w:name w:val="TCU - Ac - item 9 - §§_0"/>
    <w:basedOn w:val="1"/>
    <w:qFormat/>
    <w:uiPriority w:val="0"/>
    <w:pPr>
      <w:ind w:firstLine="1134"/>
      <w:jc w:val="both"/>
    </w:pPr>
    <w:rPr>
      <w:rFonts w:ascii="Times New Roman" w:hAnsi="Times New Roman" w:cs="Times New Roman"/>
      <w:sz w:val="24"/>
      <w:szCs w:val="22"/>
    </w:rPr>
  </w:style>
  <w:style w:type="paragraph" w:customStyle="1" w:styleId="100">
    <w:name w:val="Normal_1"/>
    <w:qFormat/>
    <w:uiPriority w:val="0"/>
    <w:pPr>
      <w:suppressAutoHyphens/>
      <w:spacing w:after="200" w:line="276" w:lineRule="auto"/>
    </w:pPr>
    <w:rPr>
      <w:rFonts w:ascii="Times New Roman" w:hAnsi="Times New Roman" w:eastAsia="Times New Roman" w:cs="Times New Roman"/>
      <w:sz w:val="24"/>
      <w:szCs w:val="22"/>
      <w:lang w:val="pt-BR" w:eastAsia="ar-SA" w:bidi="ar-SA"/>
    </w:rPr>
  </w:style>
  <w:style w:type="paragraph" w:customStyle="1" w:styleId="101">
    <w:name w:val="tcu_-__ac_-_item_9_-_1ª_linha"/>
    <w:basedOn w:val="1"/>
    <w:qFormat/>
    <w:uiPriority w:val="0"/>
    <w:pPr>
      <w:spacing w:before="100" w:after="100"/>
    </w:pPr>
    <w:rPr>
      <w:rFonts w:ascii="Times New Roman" w:hAnsi="Times New Roman" w:cs="Times New Roman"/>
      <w:sz w:val="24"/>
    </w:rPr>
  </w:style>
  <w:style w:type="paragraph" w:customStyle="1" w:styleId="102">
    <w:name w:val="texto_justificado_recuo_primeira_linha"/>
    <w:basedOn w:val="1"/>
    <w:qFormat/>
    <w:uiPriority w:val="0"/>
    <w:pPr>
      <w:spacing w:before="100" w:after="100"/>
    </w:pPr>
    <w:rPr>
      <w:rFonts w:ascii="Times New Roman" w:hAnsi="Times New Roman" w:cs="Times New Roman"/>
      <w:sz w:val="24"/>
    </w:rPr>
  </w:style>
  <w:style w:type="paragraph" w:customStyle="1" w:styleId="103">
    <w:name w:val="texto_justificado"/>
    <w:basedOn w:val="1"/>
    <w:qFormat/>
    <w:uiPriority w:val="0"/>
    <w:pPr>
      <w:spacing w:before="100" w:after="100"/>
    </w:pPr>
    <w:rPr>
      <w:rFonts w:ascii="Times New Roman" w:hAnsi="Times New Roman" w:cs="Times New Roman"/>
      <w:sz w:val="24"/>
    </w:rPr>
  </w:style>
  <w:style w:type="paragraph" w:customStyle="1" w:styleId="104">
    <w:name w:val="Parágrafo da Lista11"/>
    <w:basedOn w:val="1"/>
    <w:qFormat/>
    <w:uiPriority w:val="0"/>
    <w:pPr>
      <w:ind w:left="720"/>
    </w:pPr>
    <w:rPr>
      <w:rFonts w:ascii="Ecofont_Spranq_eco_Sans" w:hAnsi="Ecofont_Spranq_eco_Sans" w:cs="Ecofont_Spranq_eco_Sans"/>
      <w:sz w:val="24"/>
    </w:rPr>
  </w:style>
  <w:style w:type="paragraph" w:customStyle="1" w:styleId="105">
    <w:name w:val="Nivel 2"/>
    <w:qFormat/>
    <w:uiPriority w:val="0"/>
    <w:pPr>
      <w:suppressAutoHyphens/>
      <w:spacing w:before="120" w:after="120" w:line="276" w:lineRule="auto"/>
      <w:jc w:val="both"/>
      <w:outlineLvl w:val="1"/>
    </w:pPr>
    <w:rPr>
      <w:rFonts w:ascii="Ecofont_Spranq_eco_Sans" w:hAnsi="Ecofont_Spranq_eco_Sans" w:eastAsia="Arial Unicode MS" w:cs="Times New Roman"/>
      <w:lang w:val="pt-BR" w:eastAsia="ar-SA" w:bidi="ar-SA"/>
    </w:rPr>
  </w:style>
  <w:style w:type="paragraph" w:customStyle="1" w:styleId="106">
    <w:name w:val="Nivel 1"/>
    <w:basedOn w:val="105"/>
    <w:qFormat/>
    <w:uiPriority w:val="0"/>
    <w:pPr>
      <w:ind w:left="502" w:hanging="360"/>
      <w:outlineLvl w:val="0"/>
    </w:pPr>
    <w:rPr>
      <w:rFonts w:cs="Arial"/>
      <w:b/>
    </w:rPr>
  </w:style>
  <w:style w:type="paragraph" w:customStyle="1" w:styleId="107">
    <w:name w:val="Nivel 3"/>
    <w:basedOn w:val="105"/>
    <w:qFormat/>
    <w:uiPriority w:val="0"/>
    <w:pPr>
      <w:outlineLvl w:val="2"/>
    </w:pPr>
    <w:rPr>
      <w:rFonts w:cs="Arial"/>
      <w:color w:val="000000"/>
    </w:rPr>
  </w:style>
  <w:style w:type="paragraph" w:customStyle="1" w:styleId="108">
    <w:name w:val="Nivel 4"/>
    <w:basedOn w:val="107"/>
    <w:qFormat/>
    <w:uiPriority w:val="0"/>
    <w:pPr>
      <w:outlineLvl w:val="3"/>
    </w:pPr>
    <w:rPr>
      <w:color w:val="00000A"/>
    </w:rPr>
  </w:style>
  <w:style w:type="paragraph" w:customStyle="1" w:styleId="109">
    <w:name w:val="Nivel 5"/>
    <w:basedOn w:val="108"/>
    <w:qFormat/>
    <w:uiPriority w:val="0"/>
    <w:pPr>
      <w:outlineLvl w:val="4"/>
    </w:pPr>
  </w:style>
  <w:style w:type="paragraph" w:styleId="110">
    <w:name w:val="List Paragraph"/>
    <w:basedOn w:val="1"/>
    <w:qFormat/>
    <w:uiPriority w:val="34"/>
    <w:pPr>
      <w:suppressAutoHyphens w:val="0"/>
      <w:spacing w:after="0"/>
      <w:ind w:left="720"/>
      <w:contextualSpacing/>
    </w:pPr>
    <w:rPr>
      <w:lang w:eastAsia="pt-BR"/>
    </w:rPr>
  </w:style>
  <w:style w:type="paragraph" w:customStyle="1" w:styleId="111">
    <w:name w:val="Standard"/>
    <w:qFormat/>
    <w:uiPriority w:val="0"/>
    <w:pPr>
      <w:widowControl w:val="0"/>
      <w:suppressAutoHyphens/>
      <w:spacing w:after="0" w:line="276" w:lineRule="auto"/>
      <w:textAlignment w:val="baseline"/>
    </w:pPr>
    <w:rPr>
      <w:rFonts w:ascii="Times New Roman" w:hAnsi="Times New Roman" w:eastAsia="SimSun" w:cs="Mangal"/>
      <w:color w:val="00000A"/>
      <w:sz w:val="24"/>
      <w:lang w:val="pt-BR"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5" ma:contentTypeDescription="Crie um novo documento." ma:contentTypeScope="" ma:versionID="125bc996b5b233dbb6b5183f9e519957">
  <xsd:schema xmlns:xsd="http://www.w3.org/2001/XMLSchema" xmlns:xs="http://www.w3.org/2001/XMLSchema" xmlns:p="http://schemas.microsoft.com/office/2006/metadata/properties" xmlns:ns2="52c93ea8-e2de-466c-b401-d7fabeb9490e" targetNamespace="http://schemas.microsoft.com/office/2006/metadata/properties" ma:root="true" ma:fieldsID="aea0be047ad6066f46553e26f6fcc42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2C3FBB-B4C0-4F9C-A3DD-6FB6959776BA}">
  <ds:schemaRefs/>
</ds:datastoreItem>
</file>

<file path=customXml/itemProps3.xml><?xml version="1.0" encoding="utf-8"?>
<ds:datastoreItem xmlns:ds="http://schemas.openxmlformats.org/officeDocument/2006/customXml" ds:itemID="{B4CE4D18-1517-4FC2-BC3A-A157032E3C83}">
  <ds:schemaRefs/>
</ds:datastoreItem>
</file>

<file path=customXml/itemProps4.xml><?xml version="1.0" encoding="utf-8"?>
<ds:datastoreItem xmlns:ds="http://schemas.openxmlformats.org/officeDocument/2006/customXml" ds:itemID="{42CBD813-65C8-4B1F-B8B8-2315D2ABC17D}">
  <ds:schemaRefs/>
</ds:datastoreItem>
</file>

<file path=docProps/app.xml><?xml version="1.0" encoding="utf-8"?>
<Properties xmlns="http://schemas.openxmlformats.org/officeDocument/2006/extended-properties" xmlns:vt="http://schemas.openxmlformats.org/officeDocument/2006/docPropsVTypes">
  <Template>Normal</Template>
  <Company>AGU/CGU</Company>
  <Pages>29</Pages>
  <Words>10280</Words>
  <Characters>55517</Characters>
  <Lines>462</Lines>
  <Paragraphs>131</Paragraphs>
  <TotalTime>5</TotalTime>
  <ScaleCrop>false</ScaleCrop>
  <LinksUpToDate>false</LinksUpToDate>
  <CharactersWithSpaces>65666</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2019-10-10T16:18:00Z</dcterms:created>
  <dc:creator>Manoel Paz e Silva Filho</dc:creator>
  <cp:lastModifiedBy>Carvalho</cp:lastModifiedBy>
  <cp:lastPrinted>2020-05-27T11:18:00Z</cp:lastPrinted>
  <dcterms:modified xsi:type="dcterms:W3CDTF">2020-07-14T17:03:00Z</dcterms:modified>
  <dc:title>Edital para Pregão Eletrônico, Serviços Contínuos com dedicação exclusiva de mão de obra. Habilitação Completa e Ampla Participação</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KSOProductBuildVer">
    <vt:lpwstr>1046-11.2.0.9453</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